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公共体育场馆向社会免费或低收费开放</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补助资金项目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1965" w:leftChars="200" w:hanging="1405" w:hangingChars="5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项目名称：提前下达2022年公共体育场馆向社会免费或低收费开放补助资金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实施单位：阜康市文体中心管理处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主管部门：阜康市文体中心管理处</w:t>
      </w:r>
      <w:bookmarkStart w:id="14" w:name="_GoBack"/>
      <w:bookmarkEnd w:id="14"/>
    </w:p>
    <w:p>
      <w:pPr>
        <w:pStyle w:val="2"/>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pPr>
        <w:rPr>
          <w:rFonts w:hint="eastAsia"/>
          <w:lang w:val="en-US" w:eastAsia="zh-CN"/>
        </w:rPr>
        <w:sectPr>
          <w:pgSz w:w="11906" w:h="16838"/>
          <w:pgMar w:top="1928" w:right="1531" w:bottom="1701" w:left="1531" w:header="737" w:footer="851" w:gutter="0"/>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t>公共体育场馆向社会免费或低收费开放补助</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t>资金</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一、基本情况</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（一）项目概况</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项目背景</w:t>
      </w:r>
    </w:p>
    <w:p>
      <w:pPr>
        <w:pStyle w:val="5"/>
        <w:pageBreakBefore w:val="0"/>
        <w:kinsoku/>
        <w:wordWrap/>
        <w:overflowPunct/>
        <w:topLinePunct w:val="0"/>
        <w:autoSpaceDE/>
        <w:autoSpaceDN/>
        <w:bidi w:val="0"/>
        <w:adjustRightInd/>
        <w:spacing w:line="360" w:lineRule="auto"/>
        <w:textAlignment w:val="auto"/>
        <w:rPr>
          <w:rFonts w:hint="default" w:ascii="宋体" w:hAnsi="宋体" w:eastAsia="宋体" w:cs="宋体"/>
          <w:b w:val="0"/>
          <w:bCs w:val="0"/>
          <w:color w:val="auto"/>
          <w:kern w:val="2"/>
          <w:sz w:val="28"/>
          <w:szCs w:val="28"/>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落实国家体育总局《大型体育场馆基本公共服务规范》、《大型体育场馆运营管理综合评价体系》要求，完善基本设施、健全管理制度、加强经营管理、做好基本服务、落实开放要求。做好提供与体育健身相关的配套服务，开展科学健身推广、体育健身技能培训等服务，开展国民体质测试服务，承接专业运动队训练任务，举办或承办各类体育赛事，群众体育及文化等活动。</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14:textFill>
            <w14:solidFill>
              <w14:schemeClr w14:val="tx1"/>
            </w14:solidFill>
          </w14:textFill>
        </w:rPr>
        <w:t>主要内容及实施情况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主要内容</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补助资金主要用于体育场馆免费或低收费开展基本公共体育服务项目所需支出，包括体育场馆日常维护、能源费用、公益性体育活动举办、设施设备更新、运营环境改善等。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宋体"/>
          <w:color w:val="auto"/>
          <w:highlight w:val="none"/>
          <w:shd w:val="clear" w:color="auto" w:fill="auto"/>
          <w:lang w:val="en-US" w:eastAsia="zh-CN"/>
        </w:rPr>
      </w:pPr>
      <w:r>
        <w:rPr>
          <w:rFonts w:hint="eastAsia" w:cs="宋体"/>
          <w:color w:val="auto"/>
          <w:highlight w:val="none"/>
          <w:shd w:val="clear" w:color="auto" w:fill="auto"/>
          <w:lang w:val="en-US" w:eastAsia="zh-CN"/>
        </w:rPr>
        <w:t>组织实施</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公共体育场馆向社会免费或低收费开放补助资金管理办法》规定，确保场馆在满足群众个体合理健身需求的前提下，要把补助资金重点用于完善场馆信息化运营环境、国民体质监测、专业运动队训练以及为企事业单位、社会团体、基层文化体育组织，特别是学校、青少年体育俱乐部、青少年体育培训机构在场馆开展公益性体育赛事活动和培训提供场地服务，优先保障足球、篮球、排球、田径、游泳、滑冰公益性赛事活动和培训。</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公共体育场馆向社会免费或低收费开放补助资金</w:t>
      </w:r>
      <w:r>
        <w:rPr>
          <w:rFonts w:hint="eastAsia" w:ascii="宋体" w:hAnsi="宋体" w:eastAsia="宋体" w:cs="宋体"/>
          <w:color w:val="auto"/>
          <w:highlight w:val="none"/>
          <w:shd w:val="clear" w:color="auto" w:fill="auto"/>
          <w:lang w:val="en-US" w:eastAsia="zh-CN"/>
        </w:rPr>
        <w:t>预算安排总额为</w:t>
      </w:r>
      <w:r>
        <w:rPr>
          <w:rFonts w:hint="eastAsia" w:cs="宋体"/>
          <w:color w:val="auto"/>
          <w:highlight w:val="none"/>
          <w:shd w:val="clear" w:color="auto" w:fill="auto"/>
          <w:lang w:val="en-US" w:eastAsia="zh-CN"/>
        </w:rPr>
        <w:t>48.86</w:t>
      </w:r>
      <w:r>
        <w:rPr>
          <w:rFonts w:hint="eastAsia" w:ascii="宋体" w:hAnsi="宋体" w:eastAsia="宋体" w:cs="宋体"/>
          <w:color w:val="auto"/>
          <w:highlight w:val="none"/>
          <w:shd w:val="clear" w:color="auto" w:fill="auto"/>
          <w:lang w:val="en-US" w:eastAsia="zh-CN"/>
        </w:rPr>
        <w:t>万元，其中财政资</w:t>
      </w:r>
      <w:r>
        <w:rPr>
          <w:rFonts w:hint="eastAsia" w:cs="宋体"/>
          <w:color w:val="auto"/>
          <w:highlight w:val="none"/>
          <w:shd w:val="clear" w:color="auto" w:fill="auto"/>
          <w:lang w:val="en-US" w:eastAsia="zh-CN"/>
        </w:rPr>
        <w:t>金48.86万元</w:t>
      </w:r>
      <w:r>
        <w:rPr>
          <w:rFonts w:hint="eastAsia" w:ascii="宋体" w:hAnsi="宋体" w:eastAsia="宋体" w:cs="宋体"/>
          <w:color w:val="auto"/>
          <w:highlight w:val="none"/>
          <w:shd w:val="clear" w:color="auto" w:fill="auto"/>
          <w:lang w:val="en-US" w:eastAsia="zh-CN"/>
        </w:rPr>
        <w:t>，其他资金</w:t>
      </w:r>
      <w:r>
        <w:rPr>
          <w:rFonts w:hint="eastAsia" w:cs="宋体"/>
          <w:color w:val="auto"/>
          <w:highlight w:val="none"/>
          <w:shd w:val="clear" w:color="auto" w:fill="auto"/>
          <w:lang w:val="en-US" w:eastAsia="zh-CN"/>
        </w:rPr>
        <w:t>0万元</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年实际收到预算资金</w:t>
      </w:r>
      <w:r>
        <w:rPr>
          <w:rFonts w:hint="eastAsia" w:cs="宋体"/>
          <w:color w:val="auto"/>
          <w:highlight w:val="none"/>
          <w:shd w:val="clear" w:color="auto" w:fill="auto"/>
          <w:lang w:val="en-US" w:eastAsia="zh-CN"/>
        </w:rPr>
        <w:t>48.86万元</w:t>
      </w:r>
      <w:r>
        <w:rPr>
          <w:rFonts w:hint="eastAsia" w:ascii="宋体" w:hAnsi="宋体" w:eastAsia="宋体" w:cs="宋体"/>
          <w:color w:val="auto"/>
          <w:highlight w:val="none"/>
          <w:shd w:val="clear" w:color="auto" w:fill="auto"/>
          <w:lang w:val="en-US" w:eastAsia="zh-CN"/>
        </w:rPr>
        <w:t>，预算资金到位率为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000000" w:themeColor="text1"/>
          <w:spacing w:val="-4"/>
          <w:highlight w:val="none"/>
          <w:shd w:val="clear" w:color="auto" w:fill="auto"/>
          <w14:textFill>
            <w14:solidFill>
              <w14:schemeClr w14:val="tx1"/>
            </w14:solidFill>
          </w14:textFill>
        </w:rPr>
      </w:pPr>
      <w:r>
        <w:rPr>
          <w:rFonts w:hint="eastAsia" w:ascii="宋体" w:hAnsi="宋体" w:eastAsia="宋体" w:cs="宋体"/>
          <w:bCs/>
          <w:color w:val="000000" w:themeColor="text1"/>
          <w:spacing w:val="-4"/>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spacing w:val="-4"/>
          <w:highlight w:val="none"/>
          <w:shd w:val="clear" w:color="auto" w:fill="auto"/>
          <w:lang w:val="en-US" w:eastAsia="zh-CN"/>
          <w14:textFill>
            <w14:solidFill>
              <w14:schemeClr w14:val="tx1"/>
            </w14:solidFill>
          </w14:textFill>
        </w:rPr>
        <w:t>2</w:t>
      </w:r>
      <w:r>
        <w:rPr>
          <w:rFonts w:hint="eastAsia" w:ascii="宋体" w:hAnsi="宋体" w:eastAsia="宋体" w:cs="宋体"/>
          <w:bCs/>
          <w:color w:val="000000" w:themeColor="text1"/>
          <w:spacing w:val="-4"/>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spacing w:val="-4"/>
          <w:highlight w:val="none"/>
          <w:shd w:val="clear" w:color="auto" w:fill="auto"/>
          <w14:textFill>
            <w14:solidFill>
              <w14:schemeClr w14:val="tx1"/>
            </w14:solidFill>
          </w14:textFill>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截止2022年12月31日，公共体育场馆向社会免费或低收费开放补助</w:t>
      </w:r>
      <w:r>
        <w:rPr>
          <w:rFonts w:hint="eastAsia" w:ascii="宋体" w:hAnsi="宋体" w:eastAsia="宋体" w:cs="宋体"/>
          <w:color w:val="auto"/>
          <w:highlight w:val="none"/>
          <w:shd w:val="clear" w:color="auto" w:fill="auto"/>
        </w:rPr>
        <w:t>实际支付资金</w:t>
      </w:r>
      <w:r>
        <w:rPr>
          <w:rFonts w:hint="eastAsia" w:cs="宋体"/>
          <w:color w:val="auto"/>
          <w:highlight w:val="none"/>
          <w:shd w:val="clear" w:color="auto" w:fill="auto"/>
          <w:lang w:val="en-US" w:eastAsia="zh-CN"/>
        </w:rPr>
        <w:t>48.86万元</w:t>
      </w:r>
      <w:r>
        <w:rPr>
          <w:rFonts w:hint="eastAsia" w:ascii="宋体" w:hAnsi="宋体" w:eastAsia="宋体" w:cs="宋体"/>
          <w:color w:val="auto"/>
          <w:highlight w:val="none"/>
          <w:shd w:val="clear" w:color="auto" w:fill="auto"/>
        </w:rPr>
        <w:t>，预算执行率</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结</w:t>
      </w:r>
      <w:r>
        <w:rPr>
          <w:rFonts w:hint="eastAsia" w:cs="宋体"/>
          <w:color w:val="auto"/>
          <w:highlight w:val="none"/>
          <w:shd w:val="clear" w:color="auto" w:fill="auto"/>
          <w:lang w:val="en-US" w:eastAsia="zh-CN"/>
        </w:rPr>
        <w:t>转</w:t>
      </w:r>
      <w:r>
        <w:rPr>
          <w:rFonts w:hint="eastAsia" w:ascii="宋体" w:hAnsi="宋体" w:eastAsia="宋体" w:cs="宋体"/>
          <w:color w:val="auto"/>
          <w:highlight w:val="none"/>
          <w:shd w:val="clear" w:color="auto" w:fill="auto"/>
          <w:lang w:eastAsia="zh-CN"/>
        </w:rPr>
        <w:t>结余资金</w:t>
      </w:r>
      <w:r>
        <w:rPr>
          <w:rFonts w:hint="eastAsia" w:cs="宋体"/>
          <w:color w:val="auto"/>
          <w:highlight w:val="none"/>
          <w:shd w:val="clear" w:color="auto" w:fill="auto"/>
          <w:lang w:val="en-US" w:eastAsia="zh-CN"/>
        </w:rPr>
        <w:t>0万元</w:t>
      </w:r>
      <w:r>
        <w:rPr>
          <w:rFonts w:hint="eastAsia" w:ascii="宋体" w:hAnsi="宋体" w:eastAsia="宋体" w:cs="宋体"/>
          <w:color w:val="auto"/>
          <w:highlight w:val="none"/>
          <w:shd w:val="clear" w:color="auto" w:fill="auto"/>
          <w:lang w:val="en-US" w:eastAsia="zh-CN"/>
        </w:rPr>
        <w:t>，已上缴国库。</w:t>
      </w:r>
      <w:r>
        <w:rPr>
          <w:rFonts w:hint="eastAsia" w:ascii="宋体" w:hAnsi="宋体" w:eastAsia="宋体" w:cs="宋体"/>
          <w:color w:val="auto"/>
          <w:highlight w:val="none"/>
          <w:shd w:val="clear" w:color="auto" w:fill="auto"/>
        </w:rPr>
        <w:t>项目资金主要用于</w:t>
      </w:r>
      <w:r>
        <w:rPr>
          <w:rFonts w:hint="eastAsia" w:cs="宋体"/>
          <w:color w:val="auto"/>
          <w:highlight w:val="none"/>
          <w:shd w:val="clear" w:color="auto" w:fill="auto"/>
          <w:lang w:val="en-US" w:eastAsia="zh-CN"/>
        </w:rPr>
        <w:t>体育场馆免费或低收费开展基本公共体育服务项目所需支出，包括体育场馆日常维护、能源费用、公益性体育活动举办、设施设备更新、运营环境改善等方面。</w:t>
      </w:r>
    </w:p>
    <w:p>
      <w:pPr>
        <w:pStyle w:val="4"/>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项目绩效目标</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1.总体目标</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FF0000"/>
          <w:highlight w:val="none"/>
          <w:shd w:val="clear" w:color="auto" w:fill="auto"/>
          <w:lang w:val="en-US" w:eastAsia="zh-CN"/>
        </w:rPr>
      </w:pPr>
      <w:r>
        <w:rPr>
          <w:rFonts w:hint="eastAsia" w:cs="宋体"/>
          <w:color w:val="auto"/>
          <w:highlight w:val="none"/>
          <w:shd w:val="clear" w:color="auto" w:fill="auto"/>
          <w:lang w:val="en-US" w:eastAsia="zh-CN"/>
        </w:rPr>
        <w:t>公共体育场馆向社会免费或低收费开放补助资金项目绩效总体目标为：目标1：积极落实体育场馆免费或低收费开放服务，不断提高运营管理能力和公共服务水平，满足人民群众日益增长的体育健身需求。目标2：健全管理制度和服务规范，按照国家标准配备设施设备、安全防护设施和人员，并在显著位置标明体育器材、设施设备的使用方法和注意事项。</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2.阶段性目标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000000" w:themeColor="text1"/>
          <w:highlight w:val="none"/>
          <w:shd w:val="clear" w:color="auto" w:fill="auto"/>
          <w:lang w:eastAsia="zh-CN"/>
          <w14:textFill>
            <w14:solidFill>
              <w14:schemeClr w14:val="tx1"/>
            </w14:solidFill>
          </w14:textFill>
        </w:rPr>
      </w:pP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根据《预算法》、《财政支出绩效评价管理暂行办法》（财预〔20</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10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号）、《自治区党委自治区人民政府关于全面实施预算绩效管理的实施意见》（新党发〔2018〕30号）、</w:t>
      </w:r>
      <w:r>
        <w:rPr>
          <w:rFonts w:hint="eastAsia" w:ascii="宋体" w:hAnsi="宋体" w:eastAsia="宋体" w:cs="宋体"/>
          <w:color w:val="000000" w:themeColor="text1"/>
          <w:highlight w:val="none"/>
          <w:shd w:val="clear" w:color="auto" w:fill="auto"/>
          <w14:textFill>
            <w14:solidFill>
              <w14:schemeClr w14:val="tx1"/>
            </w14:solidFill>
          </w14:textFill>
        </w:rPr>
        <w:t>《自治区财政支出绩效评价管理暂行办法》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新财预〔2018〕189号</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等文件</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后</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项目产出</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全年对外开放天数</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指标，预期指标值为≥330天；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每周开放时间</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指标，预期指标值为≥35小时；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基础设施符合《大型体育场馆基本公共服务规范》标准</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基本管理符合《大型体育场馆基本公共服务规范》标准</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时效</w:t>
      </w:r>
      <w:r>
        <w:rPr>
          <w:rFonts w:hint="eastAsia" w:ascii="宋体" w:hAnsi="宋体" w:eastAsia="宋体" w:cs="宋体"/>
          <w:color w:val="auto"/>
          <w:highlight w:val="none"/>
          <w:shd w:val="clear" w:color="auto" w:fill="auto"/>
          <w:lang w:val="en-US" w:eastAsia="zh-CN"/>
        </w:rPr>
        <w:t>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开放时间达标率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④成本指标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eastAsia="zh-CN"/>
        </w:rPr>
        <w:t>本项目未设此项指标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）项目效益</w:t>
      </w:r>
      <w:r>
        <w:rPr>
          <w:rFonts w:hint="eastAsia" w:ascii="宋体" w:hAnsi="宋体" w:eastAsia="宋体" w:cs="宋体"/>
          <w:color w:val="auto"/>
          <w:highlight w:val="none"/>
          <w:shd w:val="clear" w:color="auto" w:fill="auto"/>
          <w:lang w:val="en-US" w:eastAsia="zh-CN"/>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①经济效益指标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eastAsia="zh-CN"/>
        </w:rPr>
        <w:t>本项目未设此项指标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②社会效益指标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场馆所属户外公共区域及户外健身器材全年免费开放</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指标，预期指标值为=100%；</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生态效益指标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eastAsia="zh-CN"/>
        </w:rPr>
        <w:t>本项目未设此项指标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④可持续影响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eastAsia="zh-CN"/>
        </w:rPr>
        <w:t>本项目未设此项指标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⑤</w:t>
      </w:r>
      <w:r>
        <w:rPr>
          <w:rFonts w:hint="eastAsia" w:ascii="宋体" w:hAnsi="宋体" w:eastAsia="宋体" w:cs="宋体"/>
          <w:color w:val="auto"/>
          <w:highlight w:val="none"/>
          <w:shd w:val="clear" w:color="auto" w:fill="auto"/>
          <w:lang w:val="en-US" w:eastAsia="zh-CN"/>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健身群众满意度</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指标，预期指标值为≥90%</w:t>
      </w:r>
      <w:r>
        <w:rPr>
          <w:rFonts w:hint="eastAsia" w:cs="宋体"/>
          <w:color w:val="auto"/>
          <w:highlight w:val="none"/>
          <w:shd w:val="clear" w:color="auto" w:fill="auto"/>
          <w:lang w:val="en-US" w:eastAsia="zh-CN"/>
        </w:rPr>
        <w:t>。</w:t>
      </w:r>
    </w:p>
    <w:p>
      <w:pPr>
        <w:pStyle w:val="3"/>
        <w:bidi w:val="0"/>
        <w:rPr>
          <w:rFonts w:hint="eastAsia" w:ascii="宋体" w:hAnsi="宋体" w:eastAsia="宋体" w:cs="宋体"/>
          <w:b/>
          <w:bCs/>
          <w:lang w:val="en-US" w:eastAsia="zh-CN"/>
        </w:rPr>
      </w:pPr>
      <w:r>
        <w:rPr>
          <w:rFonts w:hint="eastAsia" w:ascii="宋体" w:hAnsi="宋体" w:eastAsia="宋体" w:cs="宋体"/>
          <w:b/>
          <w:bCs/>
        </w:rPr>
        <w:t>二、绩效评价工作开展情况</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pPr>
      <w:bookmarkStart w:id="0" w:name="_Toc22922"/>
      <w:bookmarkStart w:id="1" w:name="_Toc5258"/>
      <w:bookmarkStart w:id="2" w:name="_Toc5462343"/>
      <w:bookmarkStart w:id="3" w:name="_Toc480473081"/>
      <w:bookmarkStart w:id="4" w:name="_Toc12868"/>
      <w:bookmarkStart w:id="5" w:name="_Toc26632"/>
      <w:bookmarkStart w:id="6" w:name="_Toc21664"/>
      <w:bookmarkStart w:id="7" w:name="_Toc22169_WPSOffice_Level2"/>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绩效评价的目的</w:t>
      </w:r>
      <w:bookmarkEnd w:id="0"/>
      <w:bookmarkEnd w:id="1"/>
      <w:bookmarkEnd w:id="2"/>
      <w:bookmarkEnd w:id="3"/>
      <w:bookmarkEnd w:id="4"/>
      <w:bookmarkEnd w:id="5"/>
      <w:bookmarkEnd w:id="6"/>
      <w:bookmarkEnd w:id="7"/>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、对象和范围</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绩效评价的目的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为全面了解</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该</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项目预算编制合理性、资金使用合规性、项目管理的规范性、</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绩效</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目标的实现情况、服务对象的满意度等，通过本次</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部门</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2.绩效评价的对象和范围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此次我单位根据</w:t>
      </w:r>
      <w:r>
        <w:rPr>
          <w:rFonts w:hint="eastAsia" w:ascii="宋体" w:hAnsi="宋体" w:eastAsia="宋体" w:cs="宋体"/>
          <w:color w:val="000000" w:themeColor="text1"/>
          <w:highlight w:val="none"/>
          <w:shd w:val="clear" w:color="auto" w:fill="auto"/>
          <w14:textFill>
            <w14:solidFill>
              <w14:schemeClr w14:val="tx1"/>
            </w14:solidFill>
          </w14:textFill>
        </w:rPr>
        <w:t>《财政支出绩效评价管理暂行办法》（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财预〔2020〕10号</w:t>
      </w: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文件要求对</w:t>
      </w:r>
      <w:r>
        <w:rPr>
          <w:rFonts w:hint="eastAsia" w:cs="宋体"/>
          <w:color w:val="000000" w:themeColor="text1"/>
          <w:highlight w:val="none"/>
          <w:shd w:val="clear" w:color="auto" w:fill="auto"/>
          <w:lang w:val="en-US" w:eastAsia="zh-CN"/>
          <w14:textFill>
            <w14:solidFill>
              <w14:schemeClr w14:val="tx1"/>
            </w14:solidFill>
          </w14:textFill>
        </w:rPr>
        <w:t>2022</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年度我单位实施的</w:t>
      </w:r>
      <w:r>
        <w:rPr>
          <w:rFonts w:hint="eastAsia" w:cs="宋体"/>
          <w:color w:val="auto"/>
          <w:highlight w:val="none"/>
          <w:shd w:val="clear" w:color="auto" w:fill="auto"/>
          <w:lang w:val="en-US" w:eastAsia="zh-CN"/>
        </w:rPr>
        <w:t>公共体育场馆向社会免费或低收费开放补助资金项目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t>绩效评价原则、评价指标体系（附表说明）、评价方法、评价标准</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依据</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《财政支出绩效评价管理暂行办法》（财预〔20</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10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号）</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本次绩效评价秉承科学规范、公正公开、分级分类、绩效相关等原则，按照从投入、过程到产出效果和影响的绩效逻辑路径，结合</w:t>
      </w:r>
      <w:r>
        <w:rPr>
          <w:rFonts w:hint="eastAsia" w:cs="宋体"/>
          <w:color w:val="auto"/>
          <w:highlight w:val="none"/>
          <w:shd w:val="clear" w:color="auto" w:fill="auto"/>
          <w:lang w:val="en-US" w:eastAsia="zh-CN"/>
        </w:rPr>
        <w:t>公共体育场馆向社会免费或低收费开放补助资金项目</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1</w:t>
      </w:r>
      <w:r>
        <w:rPr>
          <w:rFonts w:hint="eastAsia"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4</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）公开透明。绩效评价结果应依法依规公开，并自觉接受社会监督。</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bookmarkStart w:id="8" w:name="_Toc1913"/>
      <w:bookmarkStart w:id="9" w:name="_Toc26131"/>
      <w:bookmarkStart w:id="10" w:name="_Toc428278230"/>
      <w:bookmarkStart w:id="11" w:name="_Toc419984722"/>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绩效评价指标体系及绩效评价</w:t>
      </w:r>
      <w:bookmarkEnd w:id="8"/>
      <w:bookmarkEnd w:id="9"/>
      <w:bookmarkEnd w:id="10"/>
      <w:bookmarkEnd w:id="11"/>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我单位</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根据项目的</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实施</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资料研读及前期调研，结合项目的实际开展情况，最终形成了项目绩效评价指标体系</w:t>
      </w:r>
      <w:r>
        <w:rPr>
          <w:rFonts w:hint="eastAsia" w:ascii="宋体" w:hAnsi="宋体" w:eastAsia="宋体" w:cs="宋体"/>
          <w:color w:val="000000" w:themeColor="text1"/>
          <w:highlight w:val="none"/>
          <w:shd w:val="clear" w:color="auto" w:fill="auto"/>
          <w:lang w:val="zh-TW"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指标体系结构如下</w:t>
      </w:r>
      <w:r>
        <w:rPr>
          <w:rFonts w:hint="eastAsia" w:cs="宋体"/>
          <w:b/>
          <w:bCs/>
          <w:color w:val="000000" w:themeColor="text1"/>
          <w:highlight w:val="none"/>
          <w:shd w:val="clear" w:color="auto" w:fill="auto"/>
          <w:lang w:val="en-US" w:eastAsia="zh-CN"/>
          <w14:textFill>
            <w14:solidFill>
              <w14:schemeClr w14:val="tx1"/>
            </w14:solidFill>
          </w14:textFill>
        </w:rPr>
        <w:t>（详见上传的附件）</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jc w:val="center"/>
        <w:rPr>
          <w:rFonts w:hint="default"/>
          <w:b/>
          <w:bCs/>
          <w:sz w:val="28"/>
          <w:szCs w:val="28"/>
          <w:lang w:val="en-US" w:eastAsia="zh-CN"/>
        </w:rPr>
      </w:pPr>
      <w:r>
        <w:rPr>
          <w:rFonts w:hint="eastAsia"/>
          <w:b/>
          <w:bCs/>
          <w:sz w:val="28"/>
          <w:szCs w:val="28"/>
          <w:lang w:val="zh-TW" w:eastAsia="zh-TW"/>
        </w:rPr>
        <w:t>项目绩效评价指标体系</w:t>
      </w:r>
    </w:p>
    <w:tbl>
      <w:tblPr>
        <w:tblStyle w:val="9"/>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社会公众或服务对象是指因该项目实施而受到影响的部门（单位）、群体或个人。一般采取社会调查的方式。</w:t>
            </w:r>
          </w:p>
        </w:tc>
      </w:tr>
    </w:tbl>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14:textFill>
            <w14:solidFill>
              <w14:schemeClr w14:val="tx1"/>
            </w14:solidFill>
          </w14:textFill>
        </w:rPr>
        <w:t>评价</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本次绩效评价采用的方法比较法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、因素分析法、公众评判法</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对项目绩效目标预期指标值与实施情况进行比较，以及采取公众问卷及抽样调查等方式进行评判的方法对</w:t>
      </w:r>
      <w:r>
        <w:rPr>
          <w:rFonts w:hint="eastAsia" w:cs="宋体"/>
          <w:color w:val="auto"/>
          <w:highlight w:val="none"/>
          <w:shd w:val="clear" w:color="auto" w:fill="auto"/>
          <w:lang w:val="en-US" w:eastAsia="zh-CN"/>
        </w:rPr>
        <w:t>公共体育场馆向社会免费或低收费开放补助资金项目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进行评价。</w:t>
      </w:r>
    </w:p>
    <w:p>
      <w:pPr>
        <w:pStyle w:val="5"/>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（3）历史标准。指参照历史数据制定的评价标准，为体现绩效改进的原则，在可实现的条件下应当确定相对较高的评价标准。</w:t>
      </w:r>
    </w:p>
    <w:p>
      <w:pP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（4）财政部门和预算部门确认或认可的其他标准。</w:t>
      </w:r>
    </w:p>
    <w:p>
      <w:pPr>
        <w:pStyle w:val="5"/>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为确保该项目绩效评价的顺利实施，评价机构组建了绩效评价项目小组。项目小组负责建立联络制度、明确评价责任人、制定评价方案、实施具体评价等工作。</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（2）开展前期调研</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据此次绩效评价受委托内容，对拟评价的项目实施前期调研。通过调研对公共体育场馆向社会免费或低收费开放补助资金项目实施内容、目标信息、预算信息以及其他的一些项目基本信息，有了初步了解，为制定绩效评价工作方案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（3）制订绩效评价工作方案</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绩效评价项目小组根据有关规定和评价对象的特点以及前期调研收集的一些信息，拟定详细的绩效评价工作方案</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2.具体实施</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（1）收集基础资料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根据评价工作的需要和要求，在前期调研的基础上，通过多种渠道全面收集项目基础信息资料，主要包括：</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①被评价单位基本概况，如单位职能、事业发展规划、预决算情况、项目立项依据等；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②绩效目标及其设立依据和调整情况；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③管理措施及组织实施情况；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④被评价单位总结分析的绩效目标完成情况及绩效报告；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⑤与绩效评价相关的计划标准、行业标准、历史标准等；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⑥</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其他必要的相关资料等。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（2）整理、研读基础资料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分析评价和撰写报告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b w:val="0"/>
          <w:bCs w:val="0"/>
          <w:sz w:val="28"/>
          <w:szCs w:val="28"/>
        </w:rPr>
        <w:t>（</w:t>
      </w:r>
      <w:r>
        <w:rPr>
          <w:rFonts w:hint="eastAsia" w:ascii="宋体" w:hAnsi="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1</w:t>
      </w: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）综合分析评价</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①根据所收集的基础资料，结合现场核查的有关情况，整理出绩效评价所需的项目材料和基础数据。</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②将初步评价结论、调整</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事项、专家咨询意见和有关说明等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提交单位内部讨论</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并征求意见。之后，对所征求的意见及时地进行收集和整理。</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最终</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形成评价结果。</w:t>
      </w:r>
    </w:p>
    <w:p>
      <w:pPr>
        <w:pStyle w:val="3"/>
        <w:pageBreakBefore w:val="0"/>
        <w:numPr>
          <w:ilvl w:val="0"/>
          <w:numId w:val="3"/>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zh-TW" w:eastAsia="zh-TW"/>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此次绩效评价</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通过组论证的评价指标体系及评分标准，</w:t>
      </w:r>
      <w:r>
        <w:rPr>
          <w:rFonts w:hint="eastAsia" w:ascii="宋体" w:hAnsi="宋体" w:eastAsia="宋体" w:cs="宋体"/>
          <w:color w:val="000000" w:themeColor="text1"/>
          <w:highlight w:val="none"/>
          <w:shd w:val="clear" w:color="auto" w:fill="auto"/>
          <w14:textFill>
            <w14:solidFill>
              <w14:schemeClr w14:val="tx1"/>
            </w14:solidFill>
          </w14:textFill>
        </w:rPr>
        <w:t>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、因素分析法、公众评判法，</w:t>
      </w:r>
      <w:r>
        <w:rPr>
          <w:rFonts w:hint="eastAsia" w:ascii="宋体" w:hAnsi="宋体" w:eastAsia="宋体" w:cs="宋体"/>
          <w:color w:val="auto"/>
          <w:highlight w:val="none"/>
          <w:shd w:val="clear" w:color="auto" w:fill="auto"/>
          <w:lang w:val="zh-TW" w:eastAsia="zh-TW"/>
        </w:rPr>
        <w:t>对</w:t>
      </w:r>
      <w:r>
        <w:rPr>
          <w:rFonts w:hint="eastAsia" w:cs="宋体"/>
          <w:color w:val="auto"/>
          <w:highlight w:val="none"/>
          <w:shd w:val="clear" w:color="auto" w:fill="auto"/>
          <w:lang w:val="en-US" w:eastAsia="zh-CN"/>
        </w:rPr>
        <w:t>公共体育场馆向社会免费或低收费开放补助资金项目</w:t>
      </w:r>
      <w:r>
        <w:rPr>
          <w:rFonts w:hint="eastAsia" w:ascii="宋体" w:hAnsi="宋体" w:eastAsia="宋体" w:cs="宋体"/>
          <w:color w:val="auto"/>
          <w:highlight w:val="none"/>
          <w:shd w:val="clear" w:color="auto" w:fill="auto"/>
          <w:lang w:val="zh-TW" w:eastAsia="zh-TW"/>
        </w:rPr>
        <w:t>绩效进行客观评价，最终评分结果：总分为</w:t>
      </w:r>
      <w:r>
        <w:rPr>
          <w:rFonts w:hint="eastAsia" w:cs="宋体"/>
          <w:color w:val="auto"/>
          <w:highlight w:val="none"/>
          <w:shd w:val="clear" w:color="auto" w:fill="auto"/>
          <w:lang w:val="en-US" w:eastAsia="zh-CN"/>
        </w:rPr>
        <w:t>95.5分</w:t>
      </w:r>
      <w:r>
        <w:rPr>
          <w:rFonts w:hint="eastAsia" w:ascii="宋体" w:hAnsi="宋体" w:eastAsia="宋体" w:cs="宋体"/>
          <w:color w:val="auto"/>
          <w:highlight w:val="none"/>
          <w:shd w:val="clear" w:color="auto" w:fill="auto"/>
          <w:lang w:val="zh-TW" w:eastAsia="zh-TW"/>
        </w:rPr>
        <w:t>，绩效评级为“</w:t>
      </w:r>
      <w:r>
        <w:rPr>
          <w:rFonts w:hint="eastAsia" w:cs="宋体"/>
          <w:color w:val="auto"/>
          <w:highlight w:val="none"/>
          <w:shd w:val="clear" w:color="auto" w:fill="auto"/>
          <w:lang w:val="en-US" w:eastAsia="zh-CN"/>
        </w:rPr>
        <w:t>优</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3-1</w:t>
      </w:r>
      <w:r>
        <w:rPr>
          <w:rFonts w:hint="eastAsia" w:ascii="宋体" w:hAnsi="宋体" w:eastAsia="宋体" w:cs="宋体"/>
          <w:color w:val="auto"/>
          <w:highlight w:val="none"/>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tbl>
      <w:tblPr>
        <w:tblStyle w:val="9"/>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表3-1：</w:t>
            </w:r>
            <w:r>
              <w:rPr>
                <w:rFonts w:hint="eastAsia" w:ascii="宋体" w:hAnsi="宋体" w:eastAsia="宋体" w:cs="宋体"/>
                <w:b/>
                <w:bCs/>
                <w:color w:val="auto"/>
                <w:kern w:val="0"/>
                <w:sz w:val="28"/>
                <w:szCs w:val="28"/>
                <w:highlight w:val="none"/>
                <w:shd w:val="clear" w:color="auto" w:fill="auto"/>
                <w:lang w:val="en-US" w:eastAsia="zh-CN"/>
              </w:rPr>
              <w:t>公共体育场馆向社会免费或低收费开放补助资金</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得分表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17.5</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both"/>
              <w:textAlignment w:val="auto"/>
              <w:rPr>
                <w:rFonts w:hint="default" w:ascii="宋体" w:hAnsi="宋体" w:eastAsia="宋体" w:cs="宋体"/>
                <w:color w:val="FF0000"/>
                <w:kern w:val="0"/>
                <w:sz w:val="21"/>
                <w:szCs w:val="21"/>
                <w:highlight w:val="none"/>
                <w:shd w:val="clear" w:color="auto" w:fill="auto"/>
                <w:lang w:val="en-US" w:eastAsia="zh-CN"/>
              </w:rPr>
            </w:pPr>
            <w:r>
              <w:rPr>
                <w:rFonts w:hint="eastAsia" w:cs="宋体"/>
                <w:color w:val="FF0000"/>
                <w:kern w:val="0"/>
                <w:sz w:val="21"/>
                <w:szCs w:val="21"/>
                <w:highlight w:val="none"/>
                <w:shd w:val="clear" w:color="auto" w:fill="auto"/>
                <w:lang w:val="en-US" w:eastAsia="zh-CN"/>
              </w:rPr>
              <w:t xml:space="preserve">     </w:t>
            </w:r>
            <w:r>
              <w:rPr>
                <w:rFonts w:hint="eastAsia" w:cs="宋体"/>
                <w:color w:val="000000" w:themeColor="text1"/>
                <w:kern w:val="0"/>
                <w:sz w:val="21"/>
                <w:szCs w:val="21"/>
                <w:highlight w:val="none"/>
                <w:shd w:val="clear" w:color="auto" w:fill="auto"/>
                <w:lang w:val="en-US" w:eastAsia="zh-CN"/>
                <w14:textFill>
                  <w14:solidFill>
                    <w14:schemeClr w14:val="tx1"/>
                  </w14:solidFill>
                </w14:textFill>
              </w:rPr>
              <w:t>29</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FF0000"/>
                <w:kern w:val="0"/>
                <w:sz w:val="21"/>
                <w:szCs w:val="21"/>
                <w:highlight w:val="none"/>
                <w:shd w:val="clear" w:color="auto" w:fill="auto"/>
                <w:lang w:val="en-US" w:eastAsia="zh-CN"/>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FF0000"/>
                <w:kern w:val="0"/>
                <w:sz w:val="21"/>
                <w:szCs w:val="21"/>
                <w:highlight w:val="none"/>
                <w:shd w:val="clear" w:color="auto" w:fill="auto"/>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96.5</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18"/>
                <w:szCs w:val="18"/>
                <w:highlight w:val="none"/>
                <w:shd w:val="clear" w:color="auto" w:fill="auto"/>
                <w:lang w:val="en-US" w:eastAsia="zh-CN"/>
              </w:rPr>
              <w:t>87.50</w:t>
            </w:r>
            <w:r>
              <w:rPr>
                <w:rFonts w:hint="eastAsia" w:ascii="宋体" w:hAnsi="宋体" w:eastAsia="宋体" w:cs="宋体"/>
                <w:color w:val="auto"/>
                <w:kern w:val="0"/>
                <w:sz w:val="18"/>
                <w:szCs w:val="18"/>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18"/>
                <w:szCs w:val="18"/>
                <w:highlight w:val="none"/>
                <w:shd w:val="clear" w:color="auto" w:fill="auto"/>
                <w:lang w:val="en-US" w:eastAsia="zh-CN"/>
              </w:rPr>
              <w:t>100.00</w:t>
            </w:r>
            <w:r>
              <w:rPr>
                <w:rFonts w:hint="eastAsia" w:ascii="宋体" w:hAnsi="宋体" w:eastAsia="宋体" w:cs="宋体"/>
                <w:color w:val="auto"/>
                <w:kern w:val="0"/>
                <w:sz w:val="18"/>
                <w:szCs w:val="18"/>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FF0000"/>
                <w:kern w:val="0"/>
                <w:sz w:val="21"/>
                <w:szCs w:val="21"/>
                <w:highlight w:val="none"/>
                <w:shd w:val="clear" w:color="auto" w:fill="auto"/>
                <w:lang w:val="en-US" w:eastAsia="zh-CN"/>
              </w:rPr>
            </w:pPr>
            <w:r>
              <w:rPr>
                <w:rFonts w:hint="eastAsia" w:cs="宋体"/>
                <w:color w:val="auto"/>
                <w:kern w:val="0"/>
                <w:sz w:val="18"/>
                <w:szCs w:val="18"/>
                <w:highlight w:val="none"/>
                <w:shd w:val="clear" w:color="auto" w:fill="auto"/>
                <w:lang w:val="en-US" w:eastAsia="zh-CN"/>
              </w:rPr>
              <w:t>96.67</w:t>
            </w:r>
            <w:r>
              <w:rPr>
                <w:rFonts w:hint="eastAsia" w:ascii="宋体" w:hAnsi="宋体" w:eastAsia="宋体" w:cs="宋体"/>
                <w:color w:val="auto"/>
                <w:kern w:val="0"/>
                <w:sz w:val="18"/>
                <w:szCs w:val="18"/>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FF0000"/>
                <w:kern w:val="0"/>
                <w:sz w:val="21"/>
                <w:szCs w:val="21"/>
                <w:highlight w:val="none"/>
                <w:shd w:val="clear" w:color="auto" w:fill="auto"/>
                <w:lang w:val="en-US" w:eastAsia="zh-CN"/>
              </w:rPr>
            </w:pPr>
            <w:r>
              <w:rPr>
                <w:rFonts w:hint="eastAsia" w:cs="宋体"/>
                <w:color w:val="auto"/>
                <w:kern w:val="0"/>
                <w:sz w:val="18"/>
                <w:szCs w:val="18"/>
                <w:highlight w:val="none"/>
                <w:shd w:val="clear" w:color="auto" w:fill="auto"/>
                <w:lang w:val="en-US" w:eastAsia="zh-CN"/>
              </w:rPr>
              <w:t>100.00</w:t>
            </w:r>
            <w:r>
              <w:rPr>
                <w:rFonts w:hint="eastAsia" w:ascii="宋体" w:hAnsi="宋体" w:eastAsia="宋体" w:cs="宋体"/>
                <w:color w:val="auto"/>
                <w:kern w:val="0"/>
                <w:sz w:val="18"/>
                <w:szCs w:val="18"/>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FF0000"/>
                <w:kern w:val="0"/>
                <w:sz w:val="21"/>
                <w:szCs w:val="21"/>
                <w:highlight w:val="none"/>
                <w:shd w:val="clear" w:color="auto" w:fill="auto"/>
                <w:lang w:val="en-US" w:eastAsia="zh-CN"/>
              </w:rPr>
            </w:pPr>
            <w:r>
              <w:rPr>
                <w:rFonts w:hint="eastAsia" w:cs="宋体"/>
                <w:color w:val="auto"/>
                <w:kern w:val="0"/>
                <w:sz w:val="18"/>
                <w:szCs w:val="18"/>
                <w:highlight w:val="none"/>
                <w:shd w:val="clear" w:color="auto" w:fill="auto"/>
                <w:lang w:val="en-US" w:eastAsia="zh-CN"/>
              </w:rPr>
              <w:t>96.50</w:t>
            </w:r>
            <w:r>
              <w:rPr>
                <w:rFonts w:hint="eastAsia" w:ascii="宋体" w:hAnsi="宋体" w:eastAsia="宋体" w:cs="宋体"/>
                <w:color w:val="auto"/>
                <w:kern w:val="0"/>
                <w:sz w:val="18"/>
                <w:szCs w:val="18"/>
                <w:highlight w:val="none"/>
                <w:shd w:val="clear" w:color="auto" w:fill="auto"/>
                <w:lang w:val="en-US" w:eastAsia="zh-CN"/>
              </w:rPr>
              <w:t>%</w:t>
            </w:r>
          </w:p>
        </w:tc>
      </w:tr>
    </w:tbl>
    <w:p>
      <w:pPr>
        <w:pStyle w:val="3"/>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四、绩效评价指标分析</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（一）项目决策情况</w:t>
      </w:r>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项目决策由3个二级指标和6个三级指标构成，权重分20分，实际得分</w:t>
      </w:r>
      <w:r>
        <w:rPr>
          <w:rFonts w:hint="eastAsia" w:cs="宋体"/>
          <w:color w:val="auto"/>
          <w:highlight w:val="none"/>
          <w:shd w:val="clear" w:color="auto" w:fill="auto"/>
          <w:lang w:val="en-US" w:eastAsia="zh-CN"/>
        </w:rPr>
        <w:t>17.5分</w:t>
      </w:r>
      <w:r>
        <w:rPr>
          <w:rFonts w:hint="eastAsia" w:ascii="宋体" w:hAnsi="宋体" w:eastAsia="宋体" w:cs="宋体"/>
          <w:color w:val="auto"/>
          <w:highlight w:val="none"/>
          <w:shd w:val="clear" w:color="auto" w:fill="auto"/>
          <w:lang w:val="en-US"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-1</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default" w:ascii="宋体" w:hAnsi="宋体" w:eastAsia="宋体" w:cs="宋体"/>
          <w:color w:val="auto"/>
          <w:kern w:val="2"/>
          <w:sz w:val="28"/>
          <w:szCs w:val="28"/>
          <w:highlight w:val="none"/>
          <w:shd w:val="clear" w:color="auto" w:fill="auto"/>
          <w:lang w:val="en-US" w:eastAsia="zh-CN" w:bidi="ar-SA"/>
        </w:rPr>
      </w:pPr>
      <w:r>
        <w:rPr>
          <w:rFonts w:hint="eastAsia" w:ascii="宋体" w:hAnsi="宋体" w:eastAsia="宋体" w:cs="宋体"/>
          <w:color w:val="auto"/>
          <w:kern w:val="2"/>
          <w:sz w:val="28"/>
          <w:szCs w:val="28"/>
          <w:highlight w:val="none"/>
          <w:shd w:val="clear" w:color="auto" w:fill="auto"/>
          <w:lang w:val="en-US" w:eastAsia="zh-CN" w:bidi="ar-SA"/>
        </w:rPr>
        <w:t>运用由项目组并通过专家组论证的平价指标体系及评分标准，通过数据采集、问卷调查及访谈，对我市项目进行客观评价，最终评分结果：总得分为9</w:t>
      </w:r>
      <w:r>
        <w:rPr>
          <w:rFonts w:hint="eastAsia" w:cs="宋体"/>
          <w:color w:val="auto"/>
          <w:kern w:val="2"/>
          <w:sz w:val="28"/>
          <w:szCs w:val="28"/>
          <w:highlight w:val="none"/>
          <w:shd w:val="clear" w:color="auto" w:fill="auto"/>
          <w:lang w:val="en-US" w:eastAsia="zh-CN" w:bidi="ar-SA"/>
        </w:rPr>
        <w:t>6</w:t>
      </w:r>
      <w:r>
        <w:rPr>
          <w:rFonts w:hint="eastAsia" w:ascii="宋体" w:hAnsi="宋体" w:eastAsia="宋体" w:cs="宋体"/>
          <w:color w:val="auto"/>
          <w:kern w:val="2"/>
          <w:sz w:val="28"/>
          <w:szCs w:val="28"/>
          <w:highlight w:val="none"/>
          <w:shd w:val="clear" w:color="auto" w:fill="auto"/>
          <w:lang w:val="en-US" w:eastAsia="zh-CN" w:bidi="ar-SA"/>
        </w:rPr>
        <w:t>.5分，属于“优”。其中，项目决策类指标权重为20分，得分为1</w:t>
      </w:r>
      <w:r>
        <w:rPr>
          <w:rFonts w:hint="eastAsia" w:cs="宋体"/>
          <w:color w:val="auto"/>
          <w:kern w:val="2"/>
          <w:sz w:val="28"/>
          <w:szCs w:val="28"/>
          <w:highlight w:val="none"/>
          <w:shd w:val="clear" w:color="auto" w:fill="auto"/>
          <w:lang w:val="en-US" w:eastAsia="zh-CN" w:bidi="ar-SA"/>
        </w:rPr>
        <w:t>7</w:t>
      </w:r>
      <w:r>
        <w:rPr>
          <w:rFonts w:hint="eastAsia" w:ascii="宋体" w:hAnsi="宋体" w:eastAsia="宋体" w:cs="宋体"/>
          <w:color w:val="auto"/>
          <w:kern w:val="2"/>
          <w:sz w:val="28"/>
          <w:szCs w:val="28"/>
          <w:highlight w:val="none"/>
          <w:shd w:val="clear" w:color="auto" w:fill="auto"/>
          <w:lang w:val="en-US" w:eastAsia="zh-CN" w:bidi="ar-SA"/>
        </w:rPr>
        <w:t>.5分，得分率8</w:t>
      </w:r>
      <w:r>
        <w:rPr>
          <w:rFonts w:hint="eastAsia" w:cs="宋体"/>
          <w:color w:val="auto"/>
          <w:kern w:val="2"/>
          <w:sz w:val="28"/>
          <w:szCs w:val="28"/>
          <w:highlight w:val="none"/>
          <w:shd w:val="clear" w:color="auto" w:fill="auto"/>
          <w:lang w:val="en-US" w:eastAsia="zh-CN" w:bidi="ar-SA"/>
        </w:rPr>
        <w:t>7</w:t>
      </w:r>
      <w:r>
        <w:rPr>
          <w:rFonts w:hint="eastAsia" w:ascii="宋体" w:hAnsi="宋体" w:eastAsia="宋体" w:cs="宋体"/>
          <w:color w:val="auto"/>
          <w:kern w:val="2"/>
          <w:sz w:val="28"/>
          <w:szCs w:val="28"/>
          <w:highlight w:val="none"/>
          <w:shd w:val="clear" w:color="auto" w:fill="auto"/>
          <w:lang w:val="en-US" w:eastAsia="zh-CN" w:bidi="ar-SA"/>
        </w:rPr>
        <w:t>.50 %。项目过程类指标权重为  20分，得分20分，得分率100.00%，项目产出类指标权重为30分，得分为</w:t>
      </w:r>
      <w:r>
        <w:rPr>
          <w:rFonts w:hint="eastAsia" w:cs="宋体"/>
          <w:color w:val="auto"/>
          <w:kern w:val="2"/>
          <w:sz w:val="28"/>
          <w:szCs w:val="28"/>
          <w:highlight w:val="none"/>
          <w:shd w:val="clear" w:color="auto" w:fill="auto"/>
          <w:lang w:val="en-US" w:eastAsia="zh-CN" w:bidi="ar-SA"/>
        </w:rPr>
        <w:t>29</w:t>
      </w:r>
      <w:r>
        <w:rPr>
          <w:rFonts w:hint="eastAsia" w:ascii="宋体" w:hAnsi="宋体" w:eastAsia="宋体" w:cs="宋体"/>
          <w:color w:val="auto"/>
          <w:kern w:val="2"/>
          <w:sz w:val="28"/>
          <w:szCs w:val="28"/>
          <w:highlight w:val="none"/>
          <w:shd w:val="clear" w:color="auto" w:fill="auto"/>
          <w:lang w:val="en-US" w:eastAsia="zh-CN" w:bidi="ar-SA"/>
        </w:rPr>
        <w:t>分，得分率</w:t>
      </w:r>
      <w:r>
        <w:rPr>
          <w:rFonts w:hint="eastAsia" w:cs="宋体"/>
          <w:color w:val="auto"/>
          <w:kern w:val="2"/>
          <w:sz w:val="28"/>
          <w:szCs w:val="28"/>
          <w:highlight w:val="none"/>
          <w:shd w:val="clear" w:color="auto" w:fill="auto"/>
          <w:lang w:val="en-US" w:eastAsia="zh-CN" w:bidi="ar-SA"/>
        </w:rPr>
        <w:t>96.67</w:t>
      </w:r>
      <w:r>
        <w:rPr>
          <w:rFonts w:hint="eastAsia" w:ascii="宋体" w:hAnsi="宋体" w:eastAsia="宋体" w:cs="宋体"/>
          <w:color w:val="auto"/>
          <w:kern w:val="2"/>
          <w:sz w:val="28"/>
          <w:szCs w:val="28"/>
          <w:highlight w:val="none"/>
          <w:shd w:val="clear" w:color="auto" w:fill="auto"/>
          <w:lang w:val="en-US" w:eastAsia="zh-CN" w:bidi="ar-SA"/>
        </w:rPr>
        <w:t>%。项目效益指标权重为30分，得分为30分，得分率100.00%。</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4-1</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项目决策指标及分值</w:t>
      </w:r>
    </w:p>
    <w:tbl>
      <w:tblPr>
        <w:tblStyle w:val="9"/>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0.5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17.5</w:t>
            </w:r>
          </w:p>
        </w:tc>
      </w:tr>
    </w:tbl>
    <w:p>
      <w:pPr>
        <w:numPr>
          <w:ilvl w:val="0"/>
          <w:numId w:val="4"/>
        </w:numPr>
        <w:bidi w:val="0"/>
        <w:rPr>
          <w:rFonts w:hint="eastAsia"/>
          <w:b w:val="0"/>
          <w:bCs w:val="0"/>
          <w:color w:val="auto"/>
          <w:highlight w:val="none"/>
          <w:lang w:val="en-US" w:eastAsia="zh-CN"/>
        </w:rPr>
      </w:pPr>
      <w:r>
        <w:rPr>
          <w:rFonts w:hint="eastAsia"/>
          <w:b w:val="0"/>
          <w:bCs w:val="0"/>
          <w:color w:val="auto"/>
          <w:highlight w:val="none"/>
          <w:lang w:val="en-US" w:eastAsia="zh-CN"/>
        </w:rPr>
        <w:t>立项依据充分性</w:t>
      </w:r>
    </w:p>
    <w:p>
      <w:pPr>
        <w:numPr>
          <w:ilvl w:val="0"/>
          <w:numId w:val="0"/>
        </w:numPr>
        <w:bidi w:val="0"/>
        <w:ind w:firstLine="560" w:firstLineChars="200"/>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①</w:t>
      </w:r>
      <w:r>
        <w:rPr>
          <w:rFonts w:hint="eastAsia"/>
          <w:lang w:val="en-US" w:eastAsia="zh-CN"/>
        </w:rPr>
        <w:t>昌州财教</w:t>
      </w:r>
      <w:r>
        <w:rPr>
          <w:rFonts w:hint="eastAsia" w:ascii="仿宋" w:hAnsi="仿宋" w:eastAsia="仿宋" w:cs="Times New Roman"/>
          <w:b w:val="0"/>
          <w:bCs w:val="0"/>
          <w:kern w:val="2"/>
          <w:sz w:val="28"/>
          <w:szCs w:val="24"/>
          <w:lang w:val="en-US" w:eastAsia="zh-CN" w:bidi="ar-SA"/>
        </w:rPr>
        <w:t>【</w:t>
      </w:r>
      <w:r>
        <w:rPr>
          <w:rFonts w:hint="eastAsia"/>
          <w:lang w:val="en-US" w:eastAsia="zh-CN"/>
        </w:rPr>
        <w:t>2021-43</w:t>
      </w:r>
      <w:r>
        <w:rPr>
          <w:rFonts w:hint="eastAsia" w:ascii="仿宋" w:hAnsi="仿宋" w:eastAsia="仿宋" w:cs="Times New Roman"/>
          <w:b w:val="0"/>
          <w:bCs w:val="0"/>
          <w:kern w:val="2"/>
          <w:sz w:val="28"/>
          <w:szCs w:val="24"/>
          <w:lang w:val="en-US" w:eastAsia="zh-CN" w:bidi="ar-SA"/>
        </w:rPr>
        <w:t>】</w:t>
      </w:r>
      <w:r>
        <w:rPr>
          <w:rFonts w:hint="eastAsia"/>
          <w:lang w:val="en-US" w:eastAsia="zh-CN"/>
        </w:rPr>
        <w:t>号 《2022年公共体育场馆向社会免费或低收费补助资金</w:t>
      </w:r>
      <w:r>
        <w:rPr>
          <w:rFonts w:hint="eastAsia" w:ascii="宋体" w:hAnsi="宋体" w:cs="宋体"/>
          <w:b w:val="0"/>
          <w:bCs w:val="0"/>
          <w:color w:val="auto"/>
          <w:kern w:val="2"/>
          <w:sz w:val="28"/>
          <w:szCs w:val="28"/>
          <w:highlight w:val="none"/>
          <w:shd w:val="clear" w:color="auto" w:fill="auto"/>
          <w:lang w:val="en-US" w:eastAsia="zh-CN" w:bidi="ar-SA"/>
        </w:rPr>
        <w:t>》</w:t>
      </w:r>
      <w:r>
        <w:rPr>
          <w:rFonts w:hint="eastAsia" w:ascii="宋体" w:hAnsi="宋体" w:eastAsia="宋体" w:cs="宋体"/>
          <w:b w:val="0"/>
          <w:bCs w:val="0"/>
          <w:color w:val="auto"/>
          <w:kern w:val="2"/>
          <w:sz w:val="28"/>
          <w:szCs w:val="28"/>
          <w:highlight w:val="none"/>
          <w:shd w:val="clear" w:color="auto" w:fill="auto"/>
          <w:lang w:val="en-US" w:eastAsia="zh-CN" w:bidi="ar-SA"/>
        </w:rPr>
        <w:t>，大力开展全民健身活动，丰富群众体育活动，不断满足人民群众对美好生活的向往</w:t>
      </w:r>
      <w:r>
        <w:rPr>
          <w:rFonts w:hint="eastAsia" w:ascii="宋体" w:hAnsi="宋体" w:cs="宋体"/>
          <w:b w:val="0"/>
          <w:bCs w:val="0"/>
          <w:color w:val="auto"/>
          <w:kern w:val="2"/>
          <w:sz w:val="28"/>
          <w:szCs w:val="28"/>
          <w:highlight w:val="none"/>
          <w:shd w:val="clear" w:color="auto" w:fill="auto"/>
          <w:lang w:val="en-US" w:eastAsia="zh-CN" w:bidi="ar-SA"/>
        </w:rPr>
        <w:t>，</w:t>
      </w:r>
      <w:r>
        <w:rPr>
          <w:rFonts w:hint="eastAsia" w:ascii="宋体" w:hAnsi="宋体" w:eastAsia="宋体" w:cs="宋体"/>
          <w:b w:val="0"/>
          <w:bCs w:val="0"/>
          <w:color w:val="auto"/>
          <w:kern w:val="2"/>
          <w:sz w:val="28"/>
          <w:szCs w:val="28"/>
          <w:highlight w:val="none"/>
          <w:shd w:val="clear" w:color="auto" w:fill="auto"/>
          <w:lang w:val="en-US" w:eastAsia="zh-CN" w:bidi="ar-SA"/>
        </w:rPr>
        <w:t>该项得</w:t>
      </w:r>
      <w:r>
        <w:rPr>
          <w:rFonts w:hint="eastAsia" w:ascii="宋体" w:hAnsi="宋体" w:cs="宋体"/>
          <w:b w:val="0"/>
          <w:bCs w:val="0"/>
          <w:color w:val="auto"/>
          <w:kern w:val="2"/>
          <w:sz w:val="28"/>
          <w:szCs w:val="28"/>
          <w:highlight w:val="none"/>
          <w:shd w:val="clear" w:color="auto" w:fill="auto"/>
          <w:lang w:val="en-US" w:eastAsia="zh-CN" w:bidi="ar-SA"/>
        </w:rPr>
        <w:t>0.4</w:t>
      </w:r>
      <w:r>
        <w:rPr>
          <w:rFonts w:hint="eastAsia" w:ascii="宋体" w:hAnsi="宋体" w:eastAsia="宋体" w:cs="宋体"/>
          <w:b w:val="0"/>
          <w:bCs w:val="0"/>
          <w:color w:val="auto"/>
          <w:kern w:val="2"/>
          <w:sz w:val="28"/>
          <w:szCs w:val="28"/>
          <w:highlight w:val="none"/>
          <w:shd w:val="clear" w:color="auto" w:fill="auto"/>
          <w:lang w:val="en-US" w:eastAsia="zh-CN" w:bidi="ar-SA"/>
        </w:rPr>
        <w:t>分</w:t>
      </w:r>
      <w:r>
        <w:rPr>
          <w:rFonts w:hint="eastAsia" w:ascii="宋体" w:hAnsi="宋体" w:cs="宋体"/>
          <w:b w:val="0"/>
          <w:bCs w:val="0"/>
          <w:color w:val="auto"/>
          <w:kern w:val="2"/>
          <w:sz w:val="28"/>
          <w:szCs w:val="28"/>
          <w:highlight w:val="none"/>
          <w:shd w:val="clear" w:color="auto" w:fill="auto"/>
          <w:lang w:val="en-US" w:eastAsia="zh-CN" w:bidi="ar-SA"/>
        </w:rPr>
        <w:t>；</w:t>
      </w:r>
    </w:p>
    <w:p>
      <w:pPr>
        <w:bidi w:val="0"/>
        <w:rPr>
          <w:rFonts w:hint="eastAsia"/>
          <w:lang w:eastAsia="zh-CN"/>
        </w:rPr>
      </w:pPr>
      <w:r>
        <w:rPr>
          <w:rFonts w:hint="eastAsia"/>
          <w:lang w:eastAsia="zh-CN"/>
        </w:rPr>
        <w:t>②项目立项符合行业发展规划和政策要求</w:t>
      </w:r>
      <w:r>
        <w:rPr>
          <w:rFonts w:hint="eastAsia"/>
          <w:lang w:val="en-US" w:eastAsia="zh-CN"/>
        </w:rPr>
        <w:t>,</w:t>
      </w:r>
      <w:r>
        <w:rPr>
          <w:rFonts w:hint="eastAsia" w:ascii="宋体" w:hAnsi="宋体" w:eastAsia="宋体" w:cs="宋体"/>
          <w:b w:val="0"/>
          <w:bCs w:val="0"/>
          <w:color w:val="auto"/>
          <w:kern w:val="2"/>
          <w:sz w:val="28"/>
          <w:szCs w:val="28"/>
          <w:highlight w:val="none"/>
          <w:shd w:val="clear" w:color="auto" w:fill="auto"/>
          <w:lang w:val="en-US" w:eastAsia="zh-CN" w:bidi="ar-SA"/>
        </w:rPr>
        <w:t>该项得</w:t>
      </w:r>
      <w:r>
        <w:rPr>
          <w:rFonts w:hint="eastAsia" w:ascii="宋体" w:hAnsi="宋体" w:cs="宋体"/>
          <w:b w:val="0"/>
          <w:bCs w:val="0"/>
          <w:color w:val="auto"/>
          <w:kern w:val="2"/>
          <w:sz w:val="28"/>
          <w:szCs w:val="28"/>
          <w:highlight w:val="none"/>
          <w:shd w:val="clear" w:color="auto" w:fill="auto"/>
          <w:lang w:val="en-US" w:eastAsia="zh-CN" w:bidi="ar-SA"/>
        </w:rPr>
        <w:t>0.4</w:t>
      </w:r>
      <w:r>
        <w:rPr>
          <w:rFonts w:hint="eastAsia" w:ascii="宋体" w:hAnsi="宋体" w:eastAsia="宋体" w:cs="宋体"/>
          <w:color w:val="auto"/>
          <w:highlight w:val="none"/>
          <w:shd w:val="clear" w:color="auto" w:fill="auto"/>
          <w:lang w:eastAsia="zh-CN"/>
        </w:rPr>
        <w:t>分</w:t>
      </w:r>
      <w:r>
        <w:rPr>
          <w:rFonts w:hint="eastAsia"/>
          <w:lang w:eastAsia="zh-CN"/>
        </w:rPr>
        <w:t>；</w:t>
      </w:r>
    </w:p>
    <w:p>
      <w:pPr>
        <w:bidi w:val="0"/>
        <w:rPr>
          <w:rFonts w:hint="eastAsia"/>
          <w:lang w:eastAsia="zh-CN"/>
        </w:rPr>
      </w:pPr>
      <w:r>
        <w:rPr>
          <w:rFonts w:hint="eastAsia"/>
          <w:lang w:eastAsia="zh-CN"/>
        </w:rPr>
        <w:t>③</w:t>
      </w:r>
      <w:r>
        <w:rPr>
          <w:rFonts w:hint="eastAsia"/>
          <w:color w:val="auto"/>
          <w:highlight w:val="none"/>
          <w:lang w:eastAsia="zh-CN"/>
        </w:rPr>
        <w:t>项目立项与文体中心管理处部门职责范围相符，属于部门履职所需，</w:t>
      </w:r>
      <w:r>
        <w:rPr>
          <w:rFonts w:hint="eastAsia" w:ascii="宋体" w:hAnsi="宋体" w:eastAsia="宋体" w:cs="宋体"/>
          <w:b w:val="0"/>
          <w:bCs w:val="0"/>
          <w:color w:val="auto"/>
          <w:kern w:val="2"/>
          <w:sz w:val="28"/>
          <w:szCs w:val="28"/>
          <w:highlight w:val="none"/>
          <w:shd w:val="clear" w:color="auto" w:fill="auto"/>
          <w:lang w:val="en-US" w:eastAsia="zh-CN" w:bidi="ar-SA"/>
        </w:rPr>
        <w:t>该项得</w:t>
      </w:r>
      <w:r>
        <w:rPr>
          <w:rFonts w:hint="eastAsia" w:ascii="宋体" w:hAnsi="宋体" w:cs="宋体"/>
          <w:b w:val="0"/>
          <w:bCs w:val="0"/>
          <w:color w:val="auto"/>
          <w:kern w:val="2"/>
          <w:sz w:val="28"/>
          <w:szCs w:val="28"/>
          <w:highlight w:val="none"/>
          <w:shd w:val="clear" w:color="auto" w:fill="auto"/>
          <w:lang w:val="en-US" w:eastAsia="zh-CN" w:bidi="ar-SA"/>
        </w:rPr>
        <w:t>0.4</w:t>
      </w:r>
      <w:r>
        <w:rPr>
          <w:rFonts w:hint="eastAsia" w:ascii="宋体" w:hAnsi="宋体" w:eastAsia="宋体" w:cs="宋体"/>
          <w:color w:val="auto"/>
          <w:highlight w:val="none"/>
          <w:shd w:val="clear" w:color="auto" w:fill="auto"/>
          <w:lang w:eastAsia="zh-CN"/>
        </w:rPr>
        <w:t>分</w:t>
      </w:r>
      <w:r>
        <w:rPr>
          <w:rFonts w:hint="eastAsia" w:cs="宋体"/>
          <w:color w:val="auto"/>
          <w:highlight w:val="none"/>
          <w:shd w:val="clear" w:color="auto" w:fill="auto"/>
          <w:lang w:eastAsia="zh-CN"/>
        </w:rPr>
        <w:t>；</w:t>
      </w:r>
    </w:p>
    <w:p>
      <w:pPr>
        <w:bidi w:val="0"/>
        <w:rPr>
          <w:rFonts w:hint="eastAsia"/>
          <w:lang w:eastAsia="zh-CN"/>
        </w:rPr>
      </w:pPr>
      <w:r>
        <w:rPr>
          <w:rFonts w:hint="eastAsia"/>
          <w:lang w:eastAsia="zh-CN"/>
        </w:rPr>
        <w:t>④项目属于公共财政支持范围，符合中央、地方事权支出责任划分原则</w:t>
      </w:r>
      <w:r>
        <w:rPr>
          <w:rFonts w:hint="eastAsia"/>
          <w:lang w:val="en-US" w:eastAsia="zh-CN"/>
        </w:rPr>
        <w:t>,</w:t>
      </w:r>
      <w:r>
        <w:rPr>
          <w:rFonts w:hint="eastAsia" w:ascii="宋体" w:hAnsi="宋体" w:eastAsia="宋体" w:cs="宋体"/>
          <w:b w:val="0"/>
          <w:bCs w:val="0"/>
          <w:color w:val="auto"/>
          <w:kern w:val="2"/>
          <w:sz w:val="28"/>
          <w:szCs w:val="28"/>
          <w:highlight w:val="none"/>
          <w:shd w:val="clear" w:color="auto" w:fill="auto"/>
          <w:lang w:val="en-US" w:eastAsia="zh-CN" w:bidi="ar-SA"/>
        </w:rPr>
        <w:t>该项得</w:t>
      </w:r>
      <w:r>
        <w:rPr>
          <w:rFonts w:hint="eastAsia" w:ascii="宋体" w:hAnsi="宋体" w:cs="宋体"/>
          <w:b w:val="0"/>
          <w:bCs w:val="0"/>
          <w:color w:val="auto"/>
          <w:kern w:val="2"/>
          <w:sz w:val="28"/>
          <w:szCs w:val="28"/>
          <w:highlight w:val="none"/>
          <w:shd w:val="clear" w:color="auto" w:fill="auto"/>
          <w:lang w:val="en-US" w:eastAsia="zh-CN" w:bidi="ar-SA"/>
        </w:rPr>
        <w:t>0.4</w:t>
      </w:r>
      <w:r>
        <w:rPr>
          <w:rFonts w:hint="eastAsia" w:ascii="宋体" w:hAnsi="宋体" w:eastAsia="宋体" w:cs="宋体"/>
          <w:color w:val="auto"/>
          <w:highlight w:val="none"/>
          <w:shd w:val="clear" w:color="auto" w:fill="auto"/>
          <w:lang w:eastAsia="zh-CN"/>
        </w:rPr>
        <w:t>分</w:t>
      </w:r>
      <w:r>
        <w:rPr>
          <w:rFonts w:hint="eastAsia"/>
          <w:lang w:eastAsia="zh-CN"/>
        </w:rPr>
        <w:t>；</w:t>
      </w:r>
    </w:p>
    <w:p>
      <w:pPr>
        <w:bidi w:val="0"/>
        <w:rPr>
          <w:rFonts w:hint="eastAsia"/>
          <w:lang w:eastAsia="zh-CN"/>
        </w:rPr>
      </w:pPr>
      <w:r>
        <w:rPr>
          <w:rFonts w:hint="eastAsia"/>
          <w:lang w:eastAsia="zh-CN"/>
        </w:rPr>
        <w:t>⑤项目与相关部门同类项目或部门内部相关项目不重复，</w:t>
      </w:r>
      <w:r>
        <w:rPr>
          <w:rFonts w:hint="eastAsia" w:ascii="宋体" w:hAnsi="宋体" w:eastAsia="宋体" w:cs="宋体"/>
          <w:b w:val="0"/>
          <w:bCs w:val="0"/>
          <w:color w:val="auto"/>
          <w:kern w:val="2"/>
          <w:sz w:val="28"/>
          <w:szCs w:val="28"/>
          <w:highlight w:val="none"/>
          <w:shd w:val="clear" w:color="auto" w:fill="auto"/>
          <w:lang w:val="en-US" w:eastAsia="zh-CN" w:bidi="ar-SA"/>
        </w:rPr>
        <w:t>该项得</w:t>
      </w:r>
      <w:r>
        <w:rPr>
          <w:rFonts w:hint="eastAsia" w:ascii="宋体" w:hAnsi="宋体" w:cs="宋体"/>
          <w:b w:val="0"/>
          <w:bCs w:val="0"/>
          <w:color w:val="auto"/>
          <w:kern w:val="2"/>
          <w:sz w:val="28"/>
          <w:szCs w:val="28"/>
          <w:highlight w:val="none"/>
          <w:shd w:val="clear" w:color="auto" w:fill="auto"/>
          <w:lang w:val="en-US" w:eastAsia="zh-CN" w:bidi="ar-SA"/>
        </w:rPr>
        <w:t>0.4</w:t>
      </w:r>
      <w:r>
        <w:rPr>
          <w:rFonts w:hint="eastAsia" w:ascii="宋体" w:hAnsi="宋体" w:eastAsia="宋体" w:cs="宋体"/>
          <w:color w:val="auto"/>
          <w:highlight w:val="none"/>
          <w:shd w:val="clear" w:color="auto" w:fill="auto"/>
          <w:lang w:eastAsia="zh-CN"/>
        </w:rPr>
        <w:t>分</w:t>
      </w:r>
      <w:r>
        <w:rPr>
          <w:rFonts w:hint="eastAsia"/>
          <w:lang w:eastAsia="zh-CN"/>
        </w:rPr>
        <w:t>。</w:t>
      </w:r>
    </w:p>
    <w:p>
      <w:pPr>
        <w:bidi w:val="0"/>
        <w:rPr>
          <w:rFonts w:hint="default"/>
          <w:color w:val="auto"/>
          <w:highlight w:val="none"/>
          <w:lang w:val="en-US" w:eastAsia="zh-CN"/>
        </w:rPr>
      </w:pPr>
      <w:r>
        <w:rPr>
          <w:rFonts w:hint="eastAsia"/>
          <w:b/>
          <w:bCs/>
          <w:color w:val="auto"/>
          <w:highlight w:val="none"/>
          <w:lang w:val="en-US" w:eastAsia="zh-CN"/>
        </w:rPr>
        <w:t>综上，该项指标满分2分，扣分0分，得分2分。</w:t>
      </w:r>
    </w:p>
    <w:p>
      <w:pPr>
        <w:bidi w:val="0"/>
        <w:rPr>
          <w:rFonts w:hint="default"/>
          <w:b/>
          <w:bCs/>
          <w:color w:val="auto"/>
          <w:highlight w:val="none"/>
          <w:lang w:val="en-US" w:eastAsia="zh-CN"/>
        </w:rPr>
      </w:pPr>
      <w:r>
        <w:rPr>
          <w:rFonts w:hint="eastAsia"/>
          <w:b w:val="0"/>
          <w:bCs w:val="0"/>
          <w:color w:val="auto"/>
          <w:highlight w:val="none"/>
          <w:lang w:val="en-US" w:eastAsia="zh-CN"/>
        </w:rPr>
        <w:t>2.立项程序规范性</w:t>
      </w:r>
    </w:p>
    <w:p>
      <w:pPr>
        <w:bidi w:val="0"/>
        <w:rPr>
          <w:rFonts w:hint="eastAsia"/>
          <w:color w:val="auto"/>
          <w:highlight w:val="none"/>
          <w:lang w:eastAsia="zh-CN"/>
        </w:rPr>
      </w:pPr>
      <w:r>
        <w:rPr>
          <w:rFonts w:hint="eastAsia"/>
          <w:color w:val="auto"/>
          <w:highlight w:val="none"/>
          <w:lang w:eastAsia="zh-CN"/>
        </w:rPr>
        <w:t>①项目按照规定的程序申请设立，</w:t>
      </w:r>
      <w:r>
        <w:rPr>
          <w:rFonts w:hint="eastAsia" w:ascii="宋体" w:hAnsi="宋体" w:eastAsia="宋体" w:cs="宋体"/>
          <w:color w:val="auto"/>
          <w:highlight w:val="none"/>
          <w:shd w:val="clear" w:color="auto" w:fill="auto"/>
          <w:lang w:val="en-US" w:eastAsia="zh-CN"/>
        </w:rPr>
        <w:t>该项得1分</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lang w:eastAsia="zh-CN"/>
        </w:rPr>
        <w:t>②审批文件、材料符合相关要求，</w:t>
      </w:r>
      <w:r>
        <w:rPr>
          <w:rFonts w:hint="eastAsia" w:ascii="宋体" w:hAnsi="宋体" w:eastAsia="宋体" w:cs="宋体"/>
          <w:color w:val="auto"/>
          <w:highlight w:val="none"/>
          <w:shd w:val="clear" w:color="auto" w:fill="auto"/>
          <w:lang w:val="en-US" w:eastAsia="zh-CN"/>
        </w:rPr>
        <w:t>该项得1分</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lang w:eastAsia="zh-CN"/>
        </w:rPr>
        <w:t>③事前已经过必要的可行性研究、绩效评估、集体决策，</w:t>
      </w:r>
      <w:r>
        <w:rPr>
          <w:rFonts w:hint="eastAsia" w:ascii="宋体" w:hAnsi="宋体" w:eastAsia="宋体" w:cs="宋体"/>
          <w:color w:val="auto"/>
          <w:highlight w:val="none"/>
          <w:shd w:val="clear" w:color="auto" w:fill="auto"/>
          <w:lang w:val="en-US" w:eastAsia="zh-CN"/>
        </w:rPr>
        <w:t>该项得1分</w:t>
      </w:r>
      <w:r>
        <w:rPr>
          <w:rFonts w:hint="eastAsia"/>
          <w:color w:val="auto"/>
          <w:highlight w:val="none"/>
          <w:lang w:eastAsia="zh-CN"/>
        </w:rPr>
        <w:t>。</w:t>
      </w:r>
    </w:p>
    <w:p>
      <w:pPr>
        <w:bidi w:val="0"/>
        <w:rPr>
          <w:rFonts w:hint="eastAsia"/>
          <w:color w:val="auto"/>
          <w:highlight w:val="none"/>
          <w:lang w:eastAsia="zh-CN"/>
        </w:rPr>
      </w:pPr>
      <w:r>
        <w:rPr>
          <w:rFonts w:hint="eastAsia"/>
          <w:b/>
          <w:bCs/>
          <w:color w:val="auto"/>
          <w:highlight w:val="none"/>
          <w:lang w:val="en-US" w:eastAsia="zh-CN"/>
        </w:rPr>
        <w:t>综上，该项指标满分3分，扣分0分，得分3分。</w:t>
      </w:r>
    </w:p>
    <w:p>
      <w:pPr>
        <w:bidi w:val="0"/>
        <w:rPr>
          <w:rFonts w:hint="default"/>
          <w:b w:val="0"/>
          <w:bCs w:val="0"/>
          <w:color w:val="auto"/>
          <w:highlight w:val="none"/>
          <w:lang w:val="en-US" w:eastAsia="zh-CN"/>
        </w:rPr>
      </w:pPr>
      <w:r>
        <w:rPr>
          <w:rFonts w:hint="eastAsia"/>
          <w:b w:val="0"/>
          <w:bCs w:val="0"/>
          <w:color w:val="auto"/>
          <w:highlight w:val="none"/>
          <w:lang w:val="en-US" w:eastAsia="zh-CN"/>
        </w:rPr>
        <w:t>3.绩效目标合理性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①项目设立有绩效目标，并及时编制目标表，该项得1分；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②项目绩效目标与论证方案编制工作内容具有相关性，该项得1分；</w:t>
      </w:r>
    </w:p>
    <w:p>
      <w:pPr>
        <w:keepNext w:val="0"/>
        <w:keepLines w:val="0"/>
        <w:pageBreakBefore w:val="0"/>
        <w:widowControl w:val="0"/>
        <w:kinsoku/>
        <w:wordWrap/>
        <w:overflowPunct/>
        <w:topLinePunct w:val="0"/>
        <w:autoSpaceDE/>
        <w:autoSpaceDN/>
        <w:bidi w:val="0"/>
        <w:adjustRightInd/>
        <w:snapToGrid/>
        <w:spacing w:line="360" w:lineRule="auto"/>
        <w:ind w:left="560" w:leftChars="200" w:firstLine="0" w:firstLineChars="0"/>
        <w:jc w:val="left"/>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③项目预期产出效益和效果符合正常的业绩水平，该项得1分；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④绩效目标与预算确定的项目预算数或实施过程中的执行数相匹配，该项得2分；</w:t>
      </w:r>
    </w:p>
    <w:p>
      <w:pPr>
        <w:bidi w:val="0"/>
        <w:rPr>
          <w:rFonts w:hint="eastAsia"/>
          <w:b/>
          <w:bCs/>
          <w:color w:val="auto"/>
          <w:highlight w:val="none"/>
          <w:lang w:val="en-US" w:eastAsia="zh-CN"/>
        </w:rPr>
      </w:pPr>
      <w:r>
        <w:rPr>
          <w:rFonts w:hint="eastAsia"/>
          <w:b/>
          <w:bCs/>
          <w:color w:val="auto"/>
          <w:highlight w:val="none"/>
          <w:lang w:val="en-US" w:eastAsia="zh-CN"/>
        </w:rPr>
        <w:t>综上，该项指标满分5分，扣分0分，得分5分。</w:t>
      </w:r>
    </w:p>
    <w:p>
      <w:pPr>
        <w:bidi w:val="0"/>
        <w:rPr>
          <w:rFonts w:hint="default"/>
          <w:b w:val="0"/>
          <w:bCs w:val="0"/>
          <w:color w:val="auto"/>
          <w:highlight w:val="none"/>
          <w:lang w:val="en-US" w:eastAsia="zh-CN"/>
        </w:rPr>
      </w:pPr>
      <w:r>
        <w:rPr>
          <w:rFonts w:hint="eastAsia"/>
          <w:b w:val="0"/>
          <w:bCs w:val="0"/>
          <w:color w:val="auto"/>
          <w:highlight w:val="none"/>
          <w:lang w:val="en-US" w:eastAsia="zh-CN"/>
        </w:rPr>
        <w:t>4.绩效指标明确性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 xml:space="preserve"> ①该项目将绩效目标细化分解为具体的绩效指标，指标数共计7个，其中产出指标</w:t>
      </w:r>
      <w:r>
        <w:rPr>
          <w:rFonts w:hint="eastAsia" w:cs="宋体"/>
          <w:color w:val="auto"/>
          <w:highlight w:val="none"/>
          <w:shd w:val="clear" w:color="auto" w:fill="auto"/>
          <w:lang w:val="en-US" w:eastAsia="zh-CN"/>
        </w:rPr>
        <w:t>5</w:t>
      </w:r>
      <w:r>
        <w:rPr>
          <w:rFonts w:hint="eastAsia" w:ascii="宋体" w:hAnsi="宋体" w:eastAsia="宋体" w:cs="宋体"/>
          <w:color w:val="auto"/>
          <w:highlight w:val="none"/>
          <w:shd w:val="clear" w:color="auto" w:fill="auto"/>
          <w:lang w:val="en-US" w:eastAsia="zh-CN"/>
        </w:rPr>
        <w:t>个，效益指标</w:t>
      </w:r>
      <w:r>
        <w:rPr>
          <w:rFonts w:hint="eastAsia"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val="en-US" w:eastAsia="zh-CN"/>
        </w:rPr>
        <w:t>个，满意度指标1个，该项得</w:t>
      </w: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val="en-US" w:eastAsia="zh-CN"/>
        </w:rPr>
        <w:t>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②该项目指标能通过清晰、可衡量的指标值予以体现，其中定量指标7个，无定性指标，符合定量指标个数在指标总数的占比≥70%的标准，该项得</w:t>
      </w: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val="en-US" w:eastAsia="zh-CN"/>
        </w:rPr>
        <w:t>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color w:val="auto"/>
          <w:sz w:val="32"/>
          <w:szCs w:val="32"/>
          <w:highlight w:val="none"/>
        </w:rPr>
      </w:pPr>
      <w:r>
        <w:rPr>
          <w:rFonts w:hint="eastAsia" w:ascii="宋体" w:hAnsi="宋体" w:eastAsia="宋体" w:cs="宋体"/>
          <w:color w:val="auto"/>
          <w:highlight w:val="none"/>
          <w:shd w:val="clear" w:color="auto" w:fill="auto"/>
          <w:lang w:val="en-US" w:eastAsia="zh-CN"/>
        </w:rPr>
        <w:t>③虽设立指标与项目目标计划数相对应，但不能完全体现项目实施内容，该项内容不得分。</w:t>
      </w:r>
    </w:p>
    <w:p>
      <w:pPr>
        <w:bidi w:val="0"/>
        <w:rPr>
          <w:rFonts w:hint="eastAsia"/>
          <w:color w:val="auto"/>
          <w:highlight w:val="none"/>
          <w:lang w:eastAsia="zh-CN"/>
        </w:rPr>
      </w:pPr>
      <w:r>
        <w:rPr>
          <w:rFonts w:hint="eastAsia"/>
          <w:b/>
          <w:bCs/>
          <w:color w:val="auto"/>
          <w:highlight w:val="none"/>
          <w:lang w:val="en-US" w:eastAsia="zh-CN"/>
        </w:rPr>
        <w:t>综上，该项指标满分5分，扣分1分，得分4分。</w:t>
      </w:r>
    </w:p>
    <w:p>
      <w:pPr>
        <w:bidi w:val="0"/>
        <w:rPr>
          <w:rFonts w:hint="default"/>
          <w:b/>
          <w:bCs/>
          <w:color w:val="auto"/>
          <w:highlight w:val="none"/>
          <w:lang w:val="en-US" w:eastAsia="zh-CN"/>
        </w:rPr>
      </w:pPr>
      <w:r>
        <w:rPr>
          <w:rFonts w:hint="eastAsia"/>
          <w:b w:val="0"/>
          <w:bCs w:val="0"/>
          <w:color w:val="auto"/>
          <w:highlight w:val="none"/>
          <w:lang w:val="en-US" w:eastAsia="zh-CN"/>
        </w:rPr>
        <w:t>5.预算编制科学性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①预算内容与项目内容匹配，该项得0.2分；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②绩效目标与预算确定的项目预算数或实施过程中的执行数相匹配，该项得0.3分。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③该项目预算编制未见科学论证材料，该项不得分；</w:t>
      </w:r>
    </w:p>
    <w:p>
      <w:pPr>
        <w:bidi w:val="0"/>
        <w:rPr>
          <w:rFonts w:hint="eastAsia"/>
          <w:color w:val="auto"/>
          <w:highlight w:val="none"/>
          <w:lang w:eastAsia="zh-CN"/>
        </w:rPr>
      </w:pPr>
      <w:r>
        <w:rPr>
          <w:rFonts w:hint="eastAsia"/>
          <w:b/>
          <w:bCs/>
          <w:color w:val="auto"/>
          <w:highlight w:val="none"/>
          <w:lang w:val="en-US" w:eastAsia="zh-CN"/>
        </w:rPr>
        <w:t>综上，该项指标满分2分，扣分1.5分，得分0.5分。</w:t>
      </w:r>
    </w:p>
    <w:p>
      <w:pPr>
        <w:bidi w:val="0"/>
        <w:rPr>
          <w:rFonts w:hint="default"/>
          <w:b w:val="0"/>
          <w:bCs w:val="0"/>
          <w:color w:val="auto"/>
          <w:highlight w:val="none"/>
          <w:lang w:val="en-US" w:eastAsia="zh-CN"/>
        </w:rPr>
      </w:pPr>
      <w:r>
        <w:rPr>
          <w:rFonts w:hint="eastAsia"/>
          <w:b w:val="0"/>
          <w:bCs w:val="0"/>
          <w:color w:val="auto"/>
          <w:highlight w:val="none"/>
          <w:lang w:val="en-US" w:eastAsia="zh-CN"/>
        </w:rPr>
        <w:t>6.资金分配合理性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①预算资金分配依据充分</w:t>
      </w:r>
      <w:r>
        <w:rPr>
          <w:rFonts w:hint="eastAsia" w:cs="宋体"/>
          <w:color w:val="auto"/>
          <w:highlight w:val="none"/>
          <w:shd w:val="clear" w:color="auto" w:fill="auto"/>
          <w:lang w:val="en-US" w:eastAsia="zh-CN"/>
        </w:rPr>
        <w:t>，</w:t>
      </w:r>
      <w:r>
        <w:rPr>
          <w:rFonts w:hint="eastAsia" w:ascii="宋体" w:hAnsi="宋体" w:eastAsia="宋体" w:cs="宋体"/>
          <w:color w:val="auto"/>
          <w:highlight w:val="none"/>
          <w:shd w:val="clear" w:color="auto" w:fill="auto"/>
          <w:lang w:val="en-US" w:eastAsia="zh-CN"/>
        </w:rPr>
        <w:t>该项得</w:t>
      </w:r>
      <w:r>
        <w:rPr>
          <w:rFonts w:hint="eastAsia" w:cs="宋体"/>
          <w:color w:val="auto"/>
          <w:highlight w:val="none"/>
          <w:shd w:val="clear" w:color="auto" w:fill="auto"/>
          <w:lang w:val="en-US" w:eastAsia="zh-CN"/>
        </w:rPr>
        <w:t>1.5</w:t>
      </w:r>
      <w:r>
        <w:rPr>
          <w:rFonts w:hint="eastAsia" w:ascii="宋体" w:hAnsi="宋体" w:eastAsia="宋体" w:cs="宋体"/>
          <w:color w:val="auto"/>
          <w:highlight w:val="none"/>
          <w:shd w:val="clear" w:color="auto" w:fill="auto"/>
          <w:lang w:val="en-US" w:eastAsia="zh-CN"/>
        </w:rPr>
        <w:t>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②资金分配额度合理，与项目单位实际相适应</w:t>
      </w:r>
      <w:r>
        <w:rPr>
          <w:rFonts w:hint="eastAsia" w:cs="宋体"/>
          <w:color w:val="auto"/>
          <w:highlight w:val="none"/>
          <w:shd w:val="clear" w:color="auto" w:fill="auto"/>
          <w:lang w:val="en-US" w:eastAsia="zh-CN"/>
        </w:rPr>
        <w:t>，</w:t>
      </w:r>
      <w:r>
        <w:rPr>
          <w:rFonts w:hint="eastAsia" w:ascii="宋体" w:hAnsi="宋体" w:eastAsia="宋体" w:cs="宋体"/>
          <w:color w:val="auto"/>
          <w:highlight w:val="none"/>
          <w:shd w:val="clear" w:color="auto" w:fill="auto"/>
          <w:lang w:val="en-US" w:eastAsia="zh-CN"/>
        </w:rPr>
        <w:t>该项得</w:t>
      </w:r>
      <w:r>
        <w:rPr>
          <w:rFonts w:hint="eastAsia" w:cs="宋体"/>
          <w:color w:val="auto"/>
          <w:highlight w:val="none"/>
          <w:shd w:val="clear" w:color="auto" w:fill="auto"/>
          <w:lang w:val="en-US" w:eastAsia="zh-CN"/>
        </w:rPr>
        <w:t>1.5</w:t>
      </w:r>
      <w:r>
        <w:rPr>
          <w:rFonts w:hint="eastAsia" w:ascii="宋体" w:hAnsi="宋体" w:eastAsia="宋体" w:cs="宋体"/>
          <w:color w:val="auto"/>
          <w:highlight w:val="none"/>
          <w:shd w:val="clear" w:color="auto" w:fill="auto"/>
          <w:lang w:val="en-US" w:eastAsia="zh-CN"/>
        </w:rPr>
        <w:t>分。</w:t>
      </w:r>
    </w:p>
    <w:p>
      <w:pPr>
        <w:bidi w:val="0"/>
        <w:rPr>
          <w:rFonts w:hint="eastAsia"/>
          <w:color w:val="auto"/>
          <w:highlight w:val="none"/>
          <w:lang w:eastAsia="zh-CN"/>
        </w:rPr>
      </w:pPr>
      <w:r>
        <w:rPr>
          <w:rFonts w:hint="eastAsia"/>
          <w:b/>
          <w:bCs/>
          <w:color w:val="auto"/>
          <w:highlight w:val="none"/>
          <w:lang w:val="en-US" w:eastAsia="zh-CN"/>
        </w:rPr>
        <w:t>综上，该项指标满分3分，扣分0分，得分3分。</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二</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项目过程情况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rPr>
        <w:t>过程</w:t>
      </w:r>
      <w:r>
        <w:rPr>
          <w:rFonts w:hint="eastAsia" w:ascii="宋体" w:hAnsi="宋体" w:eastAsia="宋体" w:cs="宋体"/>
          <w:color w:val="auto"/>
          <w:kern w:val="2"/>
          <w:highlight w:val="none"/>
          <w:u w:color="000000"/>
          <w:shd w:val="clear" w:color="auto" w:fill="auto"/>
          <w:lang w:eastAsia="zh-CN"/>
        </w:rPr>
        <w:t>管理</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分，实际得分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ascii="宋体" w:hAnsi="宋体" w:eastAsia="宋体" w:cs="宋体"/>
          <w:b/>
          <w:bCs/>
          <w:color w:val="000000" w:themeColor="text1"/>
          <w:kern w:val="0"/>
          <w:sz w:val="28"/>
          <w:szCs w:val="28"/>
          <w:highlight w:val="none"/>
          <w:shd w:val="clear" w:color="auto" w:fill="auto"/>
          <w:lang w:val="zh-TW" w:eastAsia="zh-CN"/>
          <w14:textFill>
            <w14:solidFill>
              <w14:schemeClr w14:val="tx1"/>
            </w14:solidFill>
          </w14:textFill>
        </w:rPr>
        <w:t>管理</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9"/>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val="0"/>
          <w:bCs w:val="0"/>
          <w:color w:val="auto"/>
          <w:highlight w:val="none"/>
          <w:lang w:val="en-US" w:eastAsia="zh-CN"/>
        </w:rPr>
      </w:pPr>
      <w:r>
        <w:rPr>
          <w:rFonts w:hint="eastAsia"/>
          <w:b w:val="0"/>
          <w:bCs w:val="0"/>
          <w:color w:val="auto"/>
          <w:highlight w:val="none"/>
          <w:lang w:val="en-US" w:eastAsia="zh-CN"/>
        </w:rPr>
        <w:t>1.资金到位率</w:t>
      </w:r>
    </w:p>
    <w:p>
      <w:pPr>
        <w:bidi w:val="0"/>
        <w:rPr>
          <w:rFonts w:hint="eastAsia"/>
          <w:color w:val="auto"/>
          <w:highlight w:val="none"/>
          <w:lang w:eastAsia="zh-CN"/>
        </w:rPr>
      </w:pPr>
      <w:r>
        <w:rPr>
          <w:rFonts w:hint="eastAsia"/>
          <w:color w:val="auto"/>
          <w:highlight w:val="none"/>
          <w:lang w:eastAsia="zh-CN"/>
        </w:rPr>
        <w:t>资金到位率=（</w:t>
      </w:r>
      <w:r>
        <w:rPr>
          <w:rFonts w:hint="eastAsia" w:cs="宋体"/>
          <w:color w:val="auto"/>
          <w:highlight w:val="none"/>
          <w:shd w:val="clear" w:color="auto" w:fill="auto"/>
          <w:lang w:val="en-US" w:eastAsia="zh-CN"/>
        </w:rPr>
        <w:t>48.86</w:t>
      </w:r>
      <w:r>
        <w:rPr>
          <w:rFonts w:hint="eastAsia"/>
          <w:color w:val="auto"/>
          <w:highlight w:val="none"/>
          <w:lang w:eastAsia="zh-CN"/>
        </w:rPr>
        <w:t>/</w:t>
      </w:r>
      <w:r>
        <w:rPr>
          <w:rFonts w:hint="eastAsia" w:cs="宋体"/>
          <w:color w:val="auto"/>
          <w:highlight w:val="none"/>
          <w:shd w:val="clear" w:color="auto" w:fill="auto"/>
          <w:lang w:val="en-US" w:eastAsia="zh-CN"/>
        </w:rPr>
        <w:t>48.86</w:t>
      </w:r>
      <w:r>
        <w:rPr>
          <w:rFonts w:hint="eastAsia"/>
          <w:color w:val="auto"/>
          <w:highlight w:val="none"/>
          <w:lang w:eastAsia="zh-CN"/>
        </w:rPr>
        <w:t>）×100</w:t>
      </w:r>
      <w:r>
        <w:rPr>
          <w:rFonts w:hint="eastAsia"/>
          <w:color w:val="auto"/>
          <w:highlight w:val="none"/>
          <w:lang w:val="en-US" w:eastAsia="zh-CN"/>
        </w:rPr>
        <w:t>.00</w:t>
      </w:r>
      <w:r>
        <w:rPr>
          <w:rFonts w:hint="eastAsia"/>
          <w:color w:val="auto"/>
          <w:highlight w:val="none"/>
          <w:lang w:eastAsia="zh-CN"/>
        </w:rPr>
        <w:t>%</w:t>
      </w:r>
      <w:r>
        <w:rPr>
          <w:rFonts w:hint="eastAsia"/>
          <w:color w:val="auto"/>
          <w:highlight w:val="none"/>
          <w:lang w:val="en-US" w:eastAsia="zh-CN"/>
        </w:rPr>
        <w:t>=100.00%</w:t>
      </w:r>
      <w:r>
        <w:rPr>
          <w:rFonts w:hint="eastAsia"/>
          <w:color w:val="auto"/>
          <w:highlight w:val="none"/>
          <w:lang w:eastAsia="zh-CN"/>
        </w:rPr>
        <w:t>。</w:t>
      </w:r>
    </w:p>
    <w:p>
      <w:pPr>
        <w:bidi w:val="0"/>
        <w:rPr>
          <w:rFonts w:hint="eastAsia"/>
          <w:color w:val="auto"/>
          <w:highlight w:val="none"/>
          <w:lang w:eastAsia="zh-CN"/>
        </w:rPr>
      </w:pPr>
      <w:r>
        <w:rPr>
          <w:rFonts w:hint="eastAsia"/>
          <w:b/>
          <w:bCs/>
          <w:color w:val="auto"/>
          <w:highlight w:val="none"/>
          <w:lang w:val="en-US" w:eastAsia="zh-CN"/>
        </w:rPr>
        <w:t>综上，该项指标满分4分，扣分0分，得分4分。</w:t>
      </w:r>
    </w:p>
    <w:p>
      <w:pPr>
        <w:bidi w:val="0"/>
        <w:rPr>
          <w:rFonts w:hint="default"/>
          <w:b w:val="0"/>
          <w:bCs w:val="0"/>
          <w:color w:val="auto"/>
          <w:highlight w:val="none"/>
          <w:lang w:val="en-US" w:eastAsia="zh-CN"/>
        </w:rPr>
      </w:pPr>
      <w:r>
        <w:rPr>
          <w:rFonts w:hint="eastAsia"/>
          <w:b w:val="0"/>
          <w:bCs w:val="0"/>
          <w:color w:val="auto"/>
          <w:highlight w:val="none"/>
          <w:lang w:val="en-US" w:eastAsia="zh-CN"/>
        </w:rPr>
        <w:t>2.预算执行率</w:t>
      </w:r>
    </w:p>
    <w:p>
      <w:pPr>
        <w:bidi w:val="0"/>
        <w:rPr>
          <w:rFonts w:hint="eastAsia"/>
          <w:color w:val="auto"/>
          <w:highlight w:val="none"/>
          <w:lang w:eastAsia="zh-CN"/>
        </w:rPr>
      </w:pPr>
      <w:r>
        <w:rPr>
          <w:rFonts w:hint="eastAsia"/>
          <w:color w:val="auto"/>
          <w:highlight w:val="none"/>
          <w:lang w:eastAsia="zh-CN"/>
        </w:rPr>
        <w:t>预算执行率=（（</w:t>
      </w:r>
      <w:r>
        <w:rPr>
          <w:rFonts w:hint="eastAsia" w:cs="宋体"/>
          <w:color w:val="auto"/>
          <w:highlight w:val="none"/>
          <w:shd w:val="clear" w:color="auto" w:fill="auto"/>
          <w:lang w:val="en-US" w:eastAsia="zh-CN"/>
        </w:rPr>
        <w:t>48.86</w:t>
      </w:r>
      <w:r>
        <w:rPr>
          <w:rFonts w:hint="eastAsia"/>
          <w:color w:val="auto"/>
          <w:highlight w:val="none"/>
          <w:lang w:eastAsia="zh-CN"/>
        </w:rPr>
        <w:t>/</w:t>
      </w:r>
      <w:r>
        <w:rPr>
          <w:rFonts w:hint="eastAsia" w:cs="宋体"/>
          <w:color w:val="auto"/>
          <w:highlight w:val="none"/>
          <w:shd w:val="clear" w:color="auto" w:fill="auto"/>
          <w:lang w:val="en-US" w:eastAsia="zh-CN"/>
        </w:rPr>
        <w:t>48.86</w:t>
      </w:r>
      <w:r>
        <w:rPr>
          <w:rFonts w:hint="eastAsia"/>
          <w:color w:val="auto"/>
          <w:highlight w:val="none"/>
          <w:lang w:eastAsia="zh-CN"/>
        </w:rPr>
        <w:t>）×100</w:t>
      </w:r>
      <w:r>
        <w:rPr>
          <w:rFonts w:hint="eastAsia"/>
          <w:color w:val="auto"/>
          <w:highlight w:val="none"/>
          <w:lang w:val="en-US" w:eastAsia="zh-CN"/>
        </w:rPr>
        <w:t>.00</w:t>
      </w:r>
      <w:r>
        <w:rPr>
          <w:rFonts w:hint="eastAsia"/>
          <w:color w:val="auto"/>
          <w:highlight w:val="none"/>
          <w:lang w:eastAsia="zh-CN"/>
        </w:rPr>
        <w:t>%</w:t>
      </w:r>
      <w:r>
        <w:rPr>
          <w:rFonts w:hint="eastAsia"/>
          <w:color w:val="auto"/>
          <w:highlight w:val="none"/>
          <w:lang w:val="en-US" w:eastAsia="zh-CN"/>
        </w:rPr>
        <w:t>=100.00%</w:t>
      </w:r>
      <w:r>
        <w:rPr>
          <w:rFonts w:hint="eastAsia"/>
          <w:color w:val="auto"/>
          <w:highlight w:val="none"/>
          <w:lang w:eastAsia="zh-CN"/>
        </w:rPr>
        <w:t>。</w:t>
      </w:r>
    </w:p>
    <w:p>
      <w:pPr>
        <w:bidi w:val="0"/>
        <w:rPr>
          <w:rFonts w:hint="eastAsia"/>
          <w:color w:val="auto"/>
          <w:highlight w:val="none"/>
          <w:lang w:eastAsia="zh-CN"/>
        </w:rPr>
      </w:pPr>
      <w:r>
        <w:rPr>
          <w:rFonts w:hint="eastAsia"/>
          <w:b/>
          <w:bCs/>
          <w:color w:val="auto"/>
          <w:highlight w:val="none"/>
          <w:lang w:val="en-US" w:eastAsia="zh-CN"/>
        </w:rPr>
        <w:t>综上，该项指标满分4分，扣分0分，得分4分。</w:t>
      </w:r>
    </w:p>
    <w:p>
      <w:pPr>
        <w:bidi w:val="0"/>
        <w:rPr>
          <w:rFonts w:hint="default"/>
          <w:b w:val="0"/>
          <w:bCs w:val="0"/>
          <w:color w:val="auto"/>
          <w:highlight w:val="none"/>
          <w:lang w:val="en-US" w:eastAsia="zh-CN"/>
        </w:rPr>
      </w:pPr>
      <w:r>
        <w:rPr>
          <w:rFonts w:hint="eastAsia"/>
          <w:b w:val="0"/>
          <w:bCs w:val="0"/>
          <w:color w:val="auto"/>
          <w:highlight w:val="none"/>
          <w:lang w:val="en-US" w:eastAsia="zh-CN"/>
        </w:rPr>
        <w:t>3.资金使用合规率</w:t>
      </w:r>
    </w:p>
    <w:p>
      <w:pPr>
        <w:bidi w:val="0"/>
        <w:rPr>
          <w:rFonts w:hint="eastAsia"/>
          <w:color w:val="auto"/>
          <w:lang w:eastAsia="zh-CN"/>
        </w:rPr>
      </w:pPr>
      <w:r>
        <w:rPr>
          <w:rFonts w:hint="eastAsia"/>
          <w:color w:val="auto"/>
          <w:lang w:eastAsia="zh-CN"/>
        </w:rPr>
        <w:t>①资金使用符合</w:t>
      </w:r>
      <w:r>
        <w:rPr>
          <w:rFonts w:hint="eastAsia" w:asciiTheme="minorEastAsia" w:hAnsiTheme="minorEastAsia" w:eastAsiaTheme="minorEastAsia" w:cstheme="minorEastAsia"/>
          <w:b w:val="0"/>
          <w:bCs w:val="0"/>
          <w:color w:val="auto"/>
          <w:sz w:val="28"/>
          <w:szCs w:val="28"/>
          <w:highlight w:val="none"/>
          <w:lang w:val="en-US" w:eastAsia="zh-CN"/>
        </w:rPr>
        <w:t>《</w:t>
      </w:r>
      <w:r>
        <w:rPr>
          <w:rFonts w:hint="eastAsia" w:asciiTheme="minorEastAsia" w:hAnsiTheme="minorEastAsia" w:eastAsiaTheme="minorEastAsia" w:cstheme="minorEastAsia"/>
          <w:b w:val="0"/>
          <w:bCs w:val="0"/>
          <w:color w:val="auto"/>
          <w:sz w:val="28"/>
          <w:szCs w:val="28"/>
          <w:highlight w:val="none"/>
        </w:rPr>
        <w:t>财务预算管理制度</w:t>
      </w:r>
      <w:r>
        <w:rPr>
          <w:rFonts w:hint="eastAsia" w:asciiTheme="minorEastAsia" w:hAnsiTheme="minorEastAsia" w:eastAsiaTheme="minorEastAsia" w:cstheme="minorEastAsia"/>
          <w:b w:val="0"/>
          <w:bCs w:val="0"/>
          <w:color w:val="auto"/>
          <w:sz w:val="28"/>
          <w:szCs w:val="28"/>
          <w:highlight w:val="none"/>
          <w:lang w:val="en-US" w:eastAsia="zh-CN"/>
        </w:rPr>
        <w:t>》、《</w:t>
      </w:r>
      <w:r>
        <w:rPr>
          <w:rFonts w:hint="eastAsia" w:asciiTheme="minorEastAsia" w:hAnsiTheme="minorEastAsia" w:eastAsiaTheme="minorEastAsia" w:cstheme="minorEastAsia"/>
          <w:b w:val="0"/>
          <w:bCs w:val="0"/>
          <w:color w:val="auto"/>
          <w:sz w:val="28"/>
          <w:szCs w:val="28"/>
          <w:highlight w:val="none"/>
        </w:rPr>
        <w:t>项目管理制度</w:t>
      </w:r>
      <w:r>
        <w:rPr>
          <w:rFonts w:hint="eastAsia" w:asciiTheme="minorEastAsia" w:hAnsiTheme="minorEastAsia" w:eastAsiaTheme="minorEastAsia" w:cstheme="minorEastAsia"/>
          <w:b w:val="0"/>
          <w:bCs w:val="0"/>
          <w:color w:val="auto"/>
          <w:sz w:val="28"/>
          <w:szCs w:val="28"/>
          <w:highlight w:val="none"/>
          <w:lang w:val="en-US" w:eastAsia="zh-CN"/>
        </w:rPr>
        <w:t>》、《</w:t>
      </w:r>
      <w:r>
        <w:rPr>
          <w:rFonts w:hint="eastAsia" w:asciiTheme="minorEastAsia" w:hAnsiTheme="minorEastAsia" w:eastAsiaTheme="minorEastAsia" w:cstheme="minorEastAsia"/>
          <w:b w:val="0"/>
          <w:bCs w:val="0"/>
          <w:color w:val="auto"/>
          <w:sz w:val="28"/>
          <w:szCs w:val="28"/>
          <w:highlight w:val="none"/>
        </w:rPr>
        <w:t>财务管理制度</w:t>
      </w:r>
      <w:r>
        <w:rPr>
          <w:rFonts w:hint="eastAsia" w:asciiTheme="minorEastAsia" w:hAnsiTheme="minorEastAsia" w:eastAsiaTheme="minorEastAsia" w:cstheme="minorEastAsia"/>
          <w:b w:val="0"/>
          <w:bCs w:val="0"/>
          <w:color w:val="auto"/>
          <w:sz w:val="28"/>
          <w:szCs w:val="28"/>
          <w:highlight w:val="none"/>
          <w:lang w:val="en-US" w:eastAsia="zh-CN"/>
        </w:rPr>
        <w:t>》、《</w:t>
      </w:r>
      <w:r>
        <w:rPr>
          <w:rFonts w:hint="eastAsia" w:asciiTheme="minorEastAsia" w:hAnsiTheme="minorEastAsia" w:eastAsiaTheme="minorEastAsia" w:cstheme="minorEastAsia"/>
          <w:b w:val="0"/>
          <w:bCs w:val="0"/>
          <w:color w:val="auto"/>
          <w:sz w:val="28"/>
          <w:szCs w:val="28"/>
          <w:highlight w:val="none"/>
        </w:rPr>
        <w:t>预决算管理制度</w:t>
      </w:r>
      <w:r>
        <w:rPr>
          <w:rFonts w:hint="eastAsia" w:asciiTheme="minorEastAsia" w:hAnsiTheme="minorEastAsia" w:eastAsiaTheme="minorEastAsia" w:cstheme="minorEastAsia"/>
          <w:b w:val="0"/>
          <w:bCs w:val="0"/>
          <w:color w:val="auto"/>
          <w:sz w:val="28"/>
          <w:szCs w:val="28"/>
          <w:highlight w:val="none"/>
          <w:lang w:val="en-US" w:eastAsia="zh-CN"/>
        </w:rPr>
        <w:t>》</w:t>
      </w:r>
      <w:r>
        <w:rPr>
          <w:rFonts w:hint="eastAsia" w:asciiTheme="minorEastAsia" w:hAnsiTheme="minorEastAsia" w:eastAsiaTheme="minorEastAsia" w:cstheme="minorEastAsia"/>
          <w:color w:val="auto"/>
          <w:sz w:val="28"/>
          <w:szCs w:val="28"/>
          <w:highlight w:val="none"/>
          <w:lang w:val="en-US" w:eastAsia="zh-CN"/>
        </w:rPr>
        <w:t>等各项规章制度，</w:t>
      </w:r>
      <w:r>
        <w:rPr>
          <w:rFonts w:hint="eastAsia" w:ascii="宋体" w:hAnsi="宋体" w:eastAsia="宋体" w:cs="宋体"/>
          <w:b w:val="0"/>
          <w:bCs w:val="0"/>
          <w:color w:val="auto"/>
          <w:kern w:val="2"/>
          <w:sz w:val="28"/>
          <w:szCs w:val="28"/>
          <w:highlight w:val="none"/>
          <w:shd w:val="clear" w:color="auto" w:fill="auto"/>
          <w:lang w:val="en-US" w:eastAsia="zh-CN" w:bidi="ar-SA"/>
        </w:rPr>
        <w:t>该项得</w:t>
      </w:r>
      <w:r>
        <w:rPr>
          <w:rFonts w:hint="eastAsia" w:ascii="宋体" w:hAnsi="宋体" w:cs="宋体"/>
          <w:b w:val="0"/>
          <w:bCs w:val="0"/>
          <w:color w:val="auto"/>
          <w:kern w:val="2"/>
          <w:sz w:val="28"/>
          <w:szCs w:val="28"/>
          <w:highlight w:val="none"/>
          <w:shd w:val="clear" w:color="auto" w:fill="auto"/>
          <w:lang w:val="en-US" w:eastAsia="zh-CN" w:bidi="ar-SA"/>
        </w:rPr>
        <w:t>1</w:t>
      </w:r>
      <w:r>
        <w:rPr>
          <w:rFonts w:hint="eastAsia" w:ascii="宋体" w:hAnsi="宋体" w:eastAsia="宋体" w:cs="宋体"/>
          <w:b w:val="0"/>
          <w:bCs w:val="0"/>
          <w:color w:val="auto"/>
          <w:kern w:val="2"/>
          <w:sz w:val="28"/>
          <w:szCs w:val="28"/>
          <w:highlight w:val="none"/>
          <w:shd w:val="clear" w:color="auto" w:fill="auto"/>
          <w:lang w:val="en-US" w:eastAsia="zh-CN" w:bidi="ar-SA"/>
        </w:rPr>
        <w:t>分</w:t>
      </w:r>
      <w:r>
        <w:rPr>
          <w:rFonts w:hint="eastAsia" w:cs="宋体"/>
          <w:b w:val="0"/>
          <w:bCs w:val="0"/>
          <w:color w:val="auto"/>
          <w:kern w:val="2"/>
          <w:sz w:val="28"/>
          <w:szCs w:val="28"/>
          <w:highlight w:val="none"/>
          <w:shd w:val="clear" w:color="auto" w:fill="auto"/>
          <w:lang w:val="en-US" w:eastAsia="zh-CN" w:bidi="ar-SA"/>
        </w:rPr>
        <w:t>。</w:t>
      </w:r>
    </w:p>
    <w:p>
      <w:pPr>
        <w:bidi w:val="0"/>
        <w:rPr>
          <w:rFonts w:hint="eastAsia"/>
          <w:color w:val="auto"/>
          <w:lang w:eastAsia="zh-CN"/>
        </w:rPr>
      </w:pPr>
      <w:r>
        <w:rPr>
          <w:rFonts w:hint="eastAsia"/>
          <w:color w:val="auto"/>
          <w:lang w:eastAsia="zh-CN"/>
        </w:rPr>
        <w:t>②资金的拨付有完整的审批程序和手续，</w:t>
      </w:r>
      <w:r>
        <w:rPr>
          <w:rFonts w:hint="eastAsia" w:ascii="宋体" w:hAnsi="宋体" w:eastAsia="宋体" w:cs="宋体"/>
          <w:b w:val="0"/>
          <w:bCs w:val="0"/>
          <w:color w:val="auto"/>
          <w:kern w:val="2"/>
          <w:sz w:val="28"/>
          <w:szCs w:val="28"/>
          <w:highlight w:val="none"/>
          <w:shd w:val="clear" w:color="auto" w:fill="auto"/>
          <w:lang w:val="en-US" w:eastAsia="zh-CN" w:bidi="ar-SA"/>
        </w:rPr>
        <w:t>该项得</w:t>
      </w:r>
      <w:r>
        <w:rPr>
          <w:rFonts w:hint="eastAsia" w:ascii="宋体" w:hAnsi="宋体" w:cs="宋体"/>
          <w:b w:val="0"/>
          <w:bCs w:val="0"/>
          <w:color w:val="auto"/>
          <w:kern w:val="2"/>
          <w:sz w:val="28"/>
          <w:szCs w:val="28"/>
          <w:highlight w:val="none"/>
          <w:shd w:val="clear" w:color="auto" w:fill="auto"/>
          <w:lang w:val="en-US" w:eastAsia="zh-CN" w:bidi="ar-SA"/>
        </w:rPr>
        <w:t>1</w:t>
      </w:r>
      <w:r>
        <w:rPr>
          <w:rFonts w:hint="eastAsia" w:ascii="宋体" w:hAnsi="宋体" w:eastAsia="宋体" w:cs="宋体"/>
          <w:b w:val="0"/>
          <w:bCs w:val="0"/>
          <w:color w:val="auto"/>
          <w:kern w:val="2"/>
          <w:sz w:val="28"/>
          <w:szCs w:val="28"/>
          <w:highlight w:val="none"/>
          <w:shd w:val="clear" w:color="auto" w:fill="auto"/>
          <w:lang w:val="en-US" w:eastAsia="zh-CN" w:bidi="ar-SA"/>
        </w:rPr>
        <w:t>分</w:t>
      </w:r>
      <w:r>
        <w:rPr>
          <w:rFonts w:hint="eastAsia" w:cs="宋体"/>
          <w:b w:val="0"/>
          <w:bCs w:val="0"/>
          <w:color w:val="auto"/>
          <w:kern w:val="2"/>
          <w:sz w:val="28"/>
          <w:szCs w:val="28"/>
          <w:highlight w:val="none"/>
          <w:shd w:val="clear" w:color="auto" w:fill="auto"/>
          <w:lang w:val="en-US" w:eastAsia="zh-CN" w:bidi="ar-SA"/>
        </w:rPr>
        <w:t>。</w:t>
      </w:r>
    </w:p>
    <w:p>
      <w:pPr>
        <w:bidi w:val="0"/>
        <w:rPr>
          <w:rFonts w:hint="eastAsia"/>
          <w:color w:val="auto"/>
          <w:lang w:eastAsia="zh-CN"/>
        </w:rPr>
      </w:pPr>
      <w:r>
        <w:rPr>
          <w:rFonts w:hint="eastAsia"/>
          <w:color w:val="auto"/>
          <w:lang w:eastAsia="zh-CN"/>
        </w:rPr>
        <w:t>③符合项目预算批复或合同规定的用途，</w:t>
      </w:r>
      <w:r>
        <w:rPr>
          <w:rFonts w:hint="eastAsia" w:ascii="宋体" w:hAnsi="宋体" w:eastAsia="宋体" w:cs="宋体"/>
          <w:b w:val="0"/>
          <w:bCs w:val="0"/>
          <w:color w:val="auto"/>
          <w:kern w:val="2"/>
          <w:sz w:val="28"/>
          <w:szCs w:val="28"/>
          <w:highlight w:val="none"/>
          <w:shd w:val="clear" w:color="auto" w:fill="auto"/>
          <w:lang w:val="en-US" w:eastAsia="zh-CN" w:bidi="ar-SA"/>
        </w:rPr>
        <w:t>该项得</w:t>
      </w:r>
      <w:r>
        <w:rPr>
          <w:rFonts w:hint="eastAsia" w:ascii="宋体" w:hAnsi="宋体" w:cs="宋体"/>
          <w:b w:val="0"/>
          <w:bCs w:val="0"/>
          <w:color w:val="auto"/>
          <w:kern w:val="2"/>
          <w:sz w:val="28"/>
          <w:szCs w:val="28"/>
          <w:highlight w:val="none"/>
          <w:shd w:val="clear" w:color="auto" w:fill="auto"/>
          <w:lang w:val="en-US" w:eastAsia="zh-CN" w:bidi="ar-SA"/>
        </w:rPr>
        <w:t>1</w:t>
      </w:r>
      <w:r>
        <w:rPr>
          <w:rFonts w:hint="eastAsia" w:ascii="宋体" w:hAnsi="宋体" w:eastAsia="宋体" w:cs="宋体"/>
          <w:b w:val="0"/>
          <w:bCs w:val="0"/>
          <w:color w:val="auto"/>
          <w:kern w:val="2"/>
          <w:sz w:val="28"/>
          <w:szCs w:val="28"/>
          <w:highlight w:val="none"/>
          <w:shd w:val="clear" w:color="auto" w:fill="auto"/>
          <w:lang w:val="en-US" w:eastAsia="zh-CN" w:bidi="ar-SA"/>
        </w:rPr>
        <w:t>分</w:t>
      </w:r>
      <w:r>
        <w:rPr>
          <w:rFonts w:hint="eastAsia" w:cs="宋体"/>
          <w:b w:val="0"/>
          <w:bCs w:val="0"/>
          <w:color w:val="auto"/>
          <w:kern w:val="2"/>
          <w:sz w:val="28"/>
          <w:szCs w:val="28"/>
          <w:highlight w:val="none"/>
          <w:shd w:val="clear" w:color="auto" w:fill="auto"/>
          <w:lang w:val="en-US" w:eastAsia="zh-CN" w:bidi="ar-SA"/>
        </w:rPr>
        <w:t>。</w:t>
      </w:r>
    </w:p>
    <w:p>
      <w:pPr>
        <w:bidi w:val="0"/>
        <w:rPr>
          <w:rFonts w:hint="eastAsia"/>
          <w:color w:val="auto"/>
          <w:highlight w:val="none"/>
          <w:lang w:eastAsia="zh-CN"/>
        </w:rPr>
      </w:pPr>
      <w:r>
        <w:rPr>
          <w:rFonts w:hint="eastAsia"/>
          <w:color w:val="auto"/>
          <w:lang w:eastAsia="zh-CN"/>
        </w:rPr>
        <w:t>④不存在截留、挤占、挪用、虚列支出等情况。</w:t>
      </w:r>
      <w:r>
        <w:rPr>
          <w:rFonts w:hint="eastAsia"/>
          <w:color w:val="auto"/>
          <w:highlight w:val="none"/>
          <w:lang w:eastAsia="zh-CN"/>
        </w:rPr>
        <w:t>该项目资金专款专用，</w:t>
      </w:r>
      <w:r>
        <w:rPr>
          <w:rFonts w:hint="eastAsia" w:ascii="宋体" w:hAnsi="宋体" w:eastAsia="宋体" w:cs="宋体"/>
          <w:b w:val="0"/>
          <w:bCs w:val="0"/>
          <w:color w:val="auto"/>
          <w:kern w:val="2"/>
          <w:sz w:val="28"/>
          <w:szCs w:val="28"/>
          <w:highlight w:val="none"/>
          <w:shd w:val="clear" w:color="auto" w:fill="auto"/>
          <w:lang w:val="en-US" w:eastAsia="zh-CN" w:bidi="ar-SA"/>
        </w:rPr>
        <w:t>该项得</w:t>
      </w:r>
      <w:r>
        <w:rPr>
          <w:rFonts w:hint="eastAsia" w:ascii="宋体" w:hAnsi="宋体" w:cs="宋体"/>
          <w:b w:val="0"/>
          <w:bCs w:val="0"/>
          <w:color w:val="auto"/>
          <w:kern w:val="2"/>
          <w:sz w:val="28"/>
          <w:szCs w:val="28"/>
          <w:highlight w:val="none"/>
          <w:shd w:val="clear" w:color="auto" w:fill="auto"/>
          <w:lang w:val="en-US" w:eastAsia="zh-CN" w:bidi="ar-SA"/>
        </w:rPr>
        <w:t>1</w:t>
      </w:r>
      <w:r>
        <w:rPr>
          <w:rFonts w:hint="eastAsia" w:ascii="宋体" w:hAnsi="宋体" w:eastAsia="宋体" w:cs="宋体"/>
          <w:b w:val="0"/>
          <w:bCs w:val="0"/>
          <w:color w:val="auto"/>
          <w:kern w:val="2"/>
          <w:sz w:val="28"/>
          <w:szCs w:val="28"/>
          <w:highlight w:val="none"/>
          <w:shd w:val="clear" w:color="auto" w:fill="auto"/>
          <w:lang w:val="en-US" w:eastAsia="zh-CN" w:bidi="ar-SA"/>
        </w:rPr>
        <w:t>分</w:t>
      </w:r>
      <w:r>
        <w:rPr>
          <w:rFonts w:hint="eastAsia"/>
          <w:color w:val="auto"/>
          <w:highlight w:val="none"/>
          <w:lang w:eastAsia="zh-CN"/>
        </w:rPr>
        <w:t>。</w:t>
      </w:r>
    </w:p>
    <w:p>
      <w:pPr>
        <w:bidi w:val="0"/>
        <w:rPr>
          <w:rFonts w:hint="eastAsia"/>
          <w:color w:val="auto"/>
          <w:highlight w:val="none"/>
          <w:lang w:eastAsia="zh-CN"/>
        </w:rPr>
      </w:pPr>
      <w:r>
        <w:rPr>
          <w:rFonts w:hint="eastAsia"/>
          <w:b/>
          <w:bCs/>
          <w:color w:val="auto"/>
          <w:highlight w:val="none"/>
          <w:lang w:val="en-US" w:eastAsia="zh-CN"/>
        </w:rPr>
        <w:t>综上，该项指标满分4分，扣分0分，得分4分。</w:t>
      </w:r>
    </w:p>
    <w:p>
      <w:pPr>
        <w:bidi w:val="0"/>
        <w:rPr>
          <w:rFonts w:hint="default"/>
          <w:b w:val="0"/>
          <w:bCs w:val="0"/>
          <w:color w:val="auto"/>
          <w:highlight w:val="none"/>
          <w:lang w:val="en-US" w:eastAsia="zh-CN"/>
        </w:rPr>
      </w:pPr>
      <w:r>
        <w:rPr>
          <w:rFonts w:hint="eastAsia"/>
          <w:b w:val="0"/>
          <w:bCs w:val="0"/>
          <w:color w:val="auto"/>
          <w:highlight w:val="none"/>
          <w:lang w:val="en-US" w:eastAsia="zh-CN"/>
        </w:rPr>
        <w:t>4.管理制度健全性</w:t>
      </w:r>
    </w:p>
    <w:p>
      <w:pPr>
        <w:bidi w:val="0"/>
        <w:rPr>
          <w:rFonts w:hint="eastAsia"/>
          <w:color w:val="auto"/>
          <w:lang w:eastAsia="zh-CN"/>
        </w:rPr>
      </w:pPr>
      <w:r>
        <w:rPr>
          <w:rFonts w:hint="eastAsia"/>
          <w:color w:val="auto"/>
          <w:lang w:eastAsia="zh-CN"/>
        </w:rPr>
        <w:t>①</w:t>
      </w:r>
      <w:r>
        <w:rPr>
          <w:rFonts w:hint="eastAsia" w:asciiTheme="minorEastAsia" w:hAnsiTheme="minorEastAsia" w:eastAsiaTheme="minorEastAsia" w:cstheme="minorEastAsia"/>
          <w:color w:val="auto"/>
          <w:sz w:val="28"/>
          <w:szCs w:val="28"/>
          <w:highlight w:val="none"/>
          <w:lang w:val="en-US" w:eastAsia="zh-CN"/>
        </w:rPr>
        <w:t>根据国家相关法规和内部控制等制度文件汇编，建立</w:t>
      </w:r>
      <w:r>
        <w:rPr>
          <w:rFonts w:hint="eastAsia" w:asciiTheme="minorEastAsia" w:hAnsiTheme="minorEastAsia" w:eastAsiaTheme="minorEastAsia" w:cstheme="minorEastAsia"/>
          <w:b w:val="0"/>
          <w:bCs w:val="0"/>
          <w:color w:val="auto"/>
          <w:sz w:val="28"/>
          <w:szCs w:val="28"/>
          <w:highlight w:val="none"/>
          <w:lang w:val="en-US" w:eastAsia="zh-CN"/>
        </w:rPr>
        <w:t>《</w:t>
      </w:r>
      <w:r>
        <w:rPr>
          <w:rFonts w:hint="eastAsia" w:asciiTheme="minorEastAsia" w:hAnsiTheme="minorEastAsia" w:eastAsiaTheme="minorEastAsia" w:cstheme="minorEastAsia"/>
          <w:b w:val="0"/>
          <w:bCs w:val="0"/>
          <w:color w:val="auto"/>
          <w:sz w:val="28"/>
          <w:szCs w:val="28"/>
          <w:highlight w:val="none"/>
        </w:rPr>
        <w:t>财务预算管理制度</w:t>
      </w:r>
      <w:r>
        <w:rPr>
          <w:rFonts w:hint="eastAsia" w:asciiTheme="minorEastAsia" w:hAnsiTheme="minorEastAsia" w:eastAsiaTheme="minorEastAsia" w:cstheme="minorEastAsia"/>
          <w:b w:val="0"/>
          <w:bCs w:val="0"/>
          <w:color w:val="auto"/>
          <w:sz w:val="28"/>
          <w:szCs w:val="28"/>
          <w:highlight w:val="none"/>
          <w:lang w:val="en-US" w:eastAsia="zh-CN"/>
        </w:rPr>
        <w:t>》、《</w:t>
      </w:r>
      <w:r>
        <w:rPr>
          <w:rFonts w:hint="eastAsia" w:asciiTheme="minorEastAsia" w:hAnsiTheme="minorEastAsia" w:eastAsiaTheme="minorEastAsia" w:cstheme="minorEastAsia"/>
          <w:b w:val="0"/>
          <w:bCs w:val="0"/>
          <w:color w:val="auto"/>
          <w:sz w:val="28"/>
          <w:szCs w:val="28"/>
          <w:highlight w:val="none"/>
        </w:rPr>
        <w:t>项目管理制度</w:t>
      </w:r>
      <w:r>
        <w:rPr>
          <w:rFonts w:hint="eastAsia" w:asciiTheme="minorEastAsia" w:hAnsiTheme="minorEastAsia" w:eastAsiaTheme="minorEastAsia" w:cstheme="minorEastAsia"/>
          <w:b w:val="0"/>
          <w:bCs w:val="0"/>
          <w:color w:val="auto"/>
          <w:sz w:val="28"/>
          <w:szCs w:val="28"/>
          <w:highlight w:val="none"/>
          <w:lang w:val="en-US" w:eastAsia="zh-CN"/>
        </w:rPr>
        <w:t>》、《</w:t>
      </w:r>
      <w:r>
        <w:rPr>
          <w:rFonts w:hint="eastAsia" w:asciiTheme="minorEastAsia" w:hAnsiTheme="minorEastAsia" w:eastAsiaTheme="minorEastAsia" w:cstheme="minorEastAsia"/>
          <w:b w:val="0"/>
          <w:bCs w:val="0"/>
          <w:color w:val="auto"/>
          <w:sz w:val="28"/>
          <w:szCs w:val="28"/>
          <w:highlight w:val="none"/>
        </w:rPr>
        <w:t>财务管理制度</w:t>
      </w:r>
      <w:r>
        <w:rPr>
          <w:rFonts w:hint="eastAsia" w:asciiTheme="minorEastAsia" w:hAnsiTheme="minorEastAsia" w:eastAsiaTheme="minorEastAsia" w:cstheme="minorEastAsia"/>
          <w:b w:val="0"/>
          <w:bCs w:val="0"/>
          <w:color w:val="auto"/>
          <w:sz w:val="28"/>
          <w:szCs w:val="28"/>
          <w:highlight w:val="none"/>
          <w:lang w:val="en-US" w:eastAsia="zh-CN"/>
        </w:rPr>
        <w:t>》、《</w:t>
      </w:r>
      <w:r>
        <w:rPr>
          <w:rFonts w:hint="eastAsia" w:asciiTheme="minorEastAsia" w:hAnsiTheme="minorEastAsia" w:eastAsiaTheme="minorEastAsia" w:cstheme="minorEastAsia"/>
          <w:b w:val="0"/>
          <w:bCs w:val="0"/>
          <w:color w:val="auto"/>
          <w:sz w:val="28"/>
          <w:szCs w:val="28"/>
          <w:highlight w:val="none"/>
        </w:rPr>
        <w:t>预决算管理制度</w:t>
      </w:r>
      <w:r>
        <w:rPr>
          <w:rFonts w:hint="eastAsia" w:asciiTheme="minorEastAsia" w:hAnsiTheme="minorEastAsia" w:eastAsiaTheme="minorEastAsia" w:cstheme="minorEastAsia"/>
          <w:b w:val="0"/>
          <w:bCs w:val="0"/>
          <w:color w:val="auto"/>
          <w:sz w:val="28"/>
          <w:szCs w:val="28"/>
          <w:highlight w:val="none"/>
          <w:lang w:val="en-US" w:eastAsia="zh-CN"/>
        </w:rPr>
        <w:t>》</w:t>
      </w:r>
      <w:r>
        <w:rPr>
          <w:rFonts w:hint="eastAsia" w:asciiTheme="minorEastAsia" w:hAnsiTheme="minorEastAsia" w:eastAsiaTheme="minorEastAsia" w:cstheme="minorEastAsia"/>
          <w:color w:val="auto"/>
          <w:sz w:val="28"/>
          <w:szCs w:val="28"/>
          <w:highlight w:val="none"/>
          <w:lang w:val="en-US" w:eastAsia="zh-CN"/>
        </w:rPr>
        <w:t>等各项规章制度和工作程序，从制度和程序上严把资金使用、管理、绩效等各环节关口，堵塞漏洞、消除隐患，切实加强资金监管，</w:t>
      </w:r>
      <w:r>
        <w:rPr>
          <w:rFonts w:hint="eastAsia" w:ascii="宋体" w:hAnsi="宋体" w:eastAsia="宋体" w:cs="宋体"/>
          <w:b w:val="0"/>
          <w:bCs w:val="0"/>
          <w:color w:val="auto"/>
          <w:kern w:val="2"/>
          <w:sz w:val="28"/>
          <w:szCs w:val="28"/>
          <w:highlight w:val="none"/>
          <w:shd w:val="clear" w:color="auto" w:fill="auto"/>
          <w:lang w:val="en-US" w:eastAsia="zh-CN" w:bidi="ar-SA"/>
        </w:rPr>
        <w:t>该项得</w:t>
      </w:r>
      <w:r>
        <w:rPr>
          <w:rFonts w:hint="eastAsia" w:cs="宋体"/>
          <w:b w:val="0"/>
          <w:bCs w:val="0"/>
          <w:color w:val="auto"/>
          <w:kern w:val="2"/>
          <w:sz w:val="28"/>
          <w:szCs w:val="28"/>
          <w:highlight w:val="none"/>
          <w:shd w:val="clear" w:color="auto" w:fill="auto"/>
          <w:lang w:val="en-US" w:eastAsia="zh-CN" w:bidi="ar-SA"/>
        </w:rPr>
        <w:t>2</w:t>
      </w:r>
      <w:r>
        <w:rPr>
          <w:rFonts w:hint="eastAsia" w:ascii="宋体" w:hAnsi="宋体" w:eastAsia="宋体" w:cs="宋体"/>
          <w:b w:val="0"/>
          <w:bCs w:val="0"/>
          <w:color w:val="auto"/>
          <w:kern w:val="2"/>
          <w:sz w:val="28"/>
          <w:szCs w:val="28"/>
          <w:highlight w:val="none"/>
          <w:shd w:val="clear" w:color="auto" w:fill="auto"/>
          <w:lang w:val="en-US" w:eastAsia="zh-CN" w:bidi="ar-SA"/>
        </w:rPr>
        <w:t>分</w:t>
      </w:r>
      <w:r>
        <w:rPr>
          <w:rFonts w:hint="eastAsia" w:cs="宋体"/>
          <w:b w:val="0"/>
          <w:bCs w:val="0"/>
          <w:color w:val="auto"/>
          <w:kern w:val="2"/>
          <w:sz w:val="28"/>
          <w:szCs w:val="28"/>
          <w:highlight w:val="none"/>
          <w:shd w:val="clear" w:color="auto" w:fill="auto"/>
          <w:lang w:val="en-US" w:eastAsia="zh-CN" w:bidi="ar-SA"/>
        </w:rPr>
        <w:t>。</w:t>
      </w:r>
    </w:p>
    <w:p>
      <w:pPr>
        <w:bidi w:val="0"/>
        <w:rPr>
          <w:rFonts w:hint="eastAsia"/>
          <w:color w:val="auto"/>
          <w:highlight w:val="none"/>
          <w:lang w:eastAsia="zh-CN"/>
        </w:rPr>
      </w:pPr>
      <w:r>
        <w:rPr>
          <w:rFonts w:hint="eastAsia"/>
          <w:color w:val="auto"/>
          <w:highlight w:val="none"/>
          <w:lang w:eastAsia="zh-CN"/>
        </w:rPr>
        <w:t>②财务和业务管理制度合法、合规、完整，</w:t>
      </w:r>
      <w:r>
        <w:rPr>
          <w:rFonts w:hint="eastAsia" w:ascii="宋体" w:hAnsi="宋体" w:eastAsia="宋体" w:cs="宋体"/>
          <w:b w:val="0"/>
          <w:bCs w:val="0"/>
          <w:color w:val="auto"/>
          <w:kern w:val="2"/>
          <w:sz w:val="28"/>
          <w:szCs w:val="28"/>
          <w:highlight w:val="none"/>
          <w:shd w:val="clear" w:color="auto" w:fill="auto"/>
          <w:lang w:val="en-US" w:eastAsia="zh-CN" w:bidi="ar-SA"/>
        </w:rPr>
        <w:t>该项得</w:t>
      </w:r>
      <w:r>
        <w:rPr>
          <w:rFonts w:hint="eastAsia" w:cs="宋体"/>
          <w:b w:val="0"/>
          <w:bCs w:val="0"/>
          <w:color w:val="auto"/>
          <w:kern w:val="2"/>
          <w:sz w:val="28"/>
          <w:szCs w:val="28"/>
          <w:highlight w:val="none"/>
          <w:shd w:val="clear" w:color="auto" w:fill="auto"/>
          <w:lang w:val="en-US" w:eastAsia="zh-CN" w:bidi="ar-SA"/>
        </w:rPr>
        <w:t>2</w:t>
      </w:r>
      <w:r>
        <w:rPr>
          <w:rFonts w:hint="eastAsia" w:ascii="宋体" w:hAnsi="宋体" w:eastAsia="宋体" w:cs="宋体"/>
          <w:b w:val="0"/>
          <w:bCs w:val="0"/>
          <w:color w:val="auto"/>
          <w:kern w:val="2"/>
          <w:sz w:val="28"/>
          <w:szCs w:val="28"/>
          <w:highlight w:val="none"/>
          <w:shd w:val="clear" w:color="auto" w:fill="auto"/>
          <w:lang w:val="en-US" w:eastAsia="zh-CN" w:bidi="ar-SA"/>
        </w:rPr>
        <w:t>分</w:t>
      </w:r>
      <w:r>
        <w:rPr>
          <w:rFonts w:hint="eastAsia" w:cs="宋体"/>
          <w:b w:val="0"/>
          <w:bCs w:val="0"/>
          <w:color w:val="auto"/>
          <w:kern w:val="2"/>
          <w:sz w:val="28"/>
          <w:szCs w:val="28"/>
          <w:highlight w:val="none"/>
          <w:shd w:val="clear" w:color="auto" w:fill="auto"/>
          <w:lang w:val="en-US" w:eastAsia="zh-CN" w:bidi="ar-SA"/>
        </w:rPr>
        <w:t>。</w:t>
      </w:r>
    </w:p>
    <w:p>
      <w:pPr>
        <w:bidi w:val="0"/>
        <w:rPr>
          <w:rFonts w:hint="eastAsia"/>
          <w:color w:val="auto"/>
          <w:highlight w:val="none"/>
          <w:lang w:eastAsia="zh-CN"/>
        </w:rPr>
      </w:pPr>
      <w:r>
        <w:rPr>
          <w:rFonts w:hint="eastAsia"/>
          <w:b/>
          <w:bCs/>
          <w:color w:val="auto"/>
          <w:highlight w:val="none"/>
          <w:lang w:val="en-US" w:eastAsia="zh-CN"/>
        </w:rPr>
        <w:t>综上，该项指标满分4分，扣分0分，得分4分。</w:t>
      </w:r>
    </w:p>
    <w:p>
      <w:pPr>
        <w:bidi w:val="0"/>
        <w:rPr>
          <w:rFonts w:hint="default"/>
          <w:b w:val="0"/>
          <w:bCs w:val="0"/>
          <w:color w:val="auto"/>
          <w:highlight w:val="none"/>
          <w:lang w:val="en-US" w:eastAsia="zh-CN"/>
        </w:rPr>
      </w:pPr>
      <w:r>
        <w:rPr>
          <w:rFonts w:hint="eastAsia"/>
          <w:b w:val="0"/>
          <w:bCs w:val="0"/>
          <w:color w:val="auto"/>
          <w:highlight w:val="none"/>
          <w:lang w:val="en-US" w:eastAsia="zh-CN"/>
        </w:rPr>
        <w:t>5.制度执行有效性</w:t>
      </w:r>
    </w:p>
    <w:p>
      <w:pPr>
        <w:bidi w:val="0"/>
        <w:rPr>
          <w:rFonts w:hint="eastAsia"/>
          <w:color w:val="auto"/>
          <w:highlight w:val="none"/>
          <w:lang w:eastAsia="zh-CN"/>
        </w:rPr>
      </w:pPr>
      <w:r>
        <w:rPr>
          <w:rFonts w:hint="eastAsia"/>
          <w:color w:val="auto"/>
          <w:highlight w:val="none"/>
          <w:lang w:eastAsia="zh-CN"/>
        </w:rPr>
        <w:t>①遵守相关法律法规和相关管理规定，</w:t>
      </w:r>
      <w:r>
        <w:rPr>
          <w:rFonts w:hint="eastAsia" w:ascii="宋体" w:hAnsi="宋体" w:eastAsia="宋体" w:cs="宋体"/>
          <w:b w:val="0"/>
          <w:bCs w:val="0"/>
          <w:color w:val="auto"/>
          <w:kern w:val="2"/>
          <w:sz w:val="28"/>
          <w:szCs w:val="28"/>
          <w:highlight w:val="none"/>
          <w:shd w:val="clear" w:color="auto" w:fill="auto"/>
          <w:lang w:val="en-US" w:eastAsia="zh-CN" w:bidi="ar-SA"/>
        </w:rPr>
        <w:t>该项得</w:t>
      </w:r>
      <w:r>
        <w:rPr>
          <w:rFonts w:hint="eastAsia" w:ascii="宋体" w:hAnsi="宋体" w:cs="宋体"/>
          <w:b w:val="0"/>
          <w:bCs w:val="0"/>
          <w:color w:val="auto"/>
          <w:kern w:val="2"/>
          <w:sz w:val="28"/>
          <w:szCs w:val="28"/>
          <w:highlight w:val="none"/>
          <w:shd w:val="clear" w:color="auto" w:fill="auto"/>
          <w:lang w:val="en-US" w:eastAsia="zh-CN" w:bidi="ar-SA"/>
        </w:rPr>
        <w:t>1</w:t>
      </w:r>
      <w:r>
        <w:rPr>
          <w:rFonts w:hint="eastAsia" w:ascii="宋体" w:hAnsi="宋体" w:eastAsia="宋体" w:cs="宋体"/>
          <w:b w:val="0"/>
          <w:bCs w:val="0"/>
          <w:color w:val="auto"/>
          <w:kern w:val="2"/>
          <w:sz w:val="28"/>
          <w:szCs w:val="28"/>
          <w:highlight w:val="none"/>
          <w:shd w:val="clear" w:color="auto" w:fill="auto"/>
          <w:lang w:val="en-US" w:eastAsia="zh-CN" w:bidi="ar-SA"/>
        </w:rPr>
        <w:t>分</w:t>
      </w:r>
      <w:r>
        <w:rPr>
          <w:rFonts w:hint="eastAsia" w:cs="宋体"/>
          <w:b w:val="0"/>
          <w:bCs w:val="0"/>
          <w:color w:val="auto"/>
          <w:kern w:val="2"/>
          <w:sz w:val="28"/>
          <w:szCs w:val="28"/>
          <w:highlight w:val="none"/>
          <w:shd w:val="clear" w:color="auto" w:fill="auto"/>
          <w:lang w:val="en-US" w:eastAsia="zh-CN" w:bidi="ar-SA"/>
        </w:rPr>
        <w:t>。</w:t>
      </w:r>
    </w:p>
    <w:p>
      <w:pPr>
        <w:bidi w:val="0"/>
        <w:rPr>
          <w:rFonts w:hint="eastAsia"/>
          <w:color w:val="auto"/>
          <w:highlight w:val="none"/>
          <w:lang w:eastAsia="zh-CN"/>
        </w:rPr>
      </w:pPr>
      <w:r>
        <w:rPr>
          <w:rFonts w:hint="eastAsia"/>
          <w:color w:val="auto"/>
          <w:highlight w:val="none"/>
          <w:lang w:eastAsia="zh-CN"/>
        </w:rPr>
        <w:t>②项目调整及支出调整手续是否完备；无项目调整，</w:t>
      </w:r>
      <w:r>
        <w:rPr>
          <w:rFonts w:hint="eastAsia" w:ascii="宋体" w:hAnsi="宋体" w:eastAsia="宋体" w:cs="宋体"/>
          <w:b w:val="0"/>
          <w:bCs w:val="0"/>
          <w:color w:val="auto"/>
          <w:kern w:val="2"/>
          <w:sz w:val="28"/>
          <w:szCs w:val="28"/>
          <w:highlight w:val="none"/>
          <w:shd w:val="clear" w:color="auto" w:fill="auto"/>
          <w:lang w:val="en-US" w:eastAsia="zh-CN" w:bidi="ar-SA"/>
        </w:rPr>
        <w:t>该项得</w:t>
      </w:r>
      <w:r>
        <w:rPr>
          <w:rFonts w:hint="eastAsia" w:ascii="宋体" w:hAnsi="宋体" w:cs="宋体"/>
          <w:b w:val="0"/>
          <w:bCs w:val="0"/>
          <w:color w:val="auto"/>
          <w:kern w:val="2"/>
          <w:sz w:val="28"/>
          <w:szCs w:val="28"/>
          <w:highlight w:val="none"/>
          <w:shd w:val="clear" w:color="auto" w:fill="auto"/>
          <w:lang w:val="en-US" w:eastAsia="zh-CN" w:bidi="ar-SA"/>
        </w:rPr>
        <w:t>1</w:t>
      </w:r>
      <w:r>
        <w:rPr>
          <w:rFonts w:hint="eastAsia" w:ascii="宋体" w:hAnsi="宋体" w:eastAsia="宋体" w:cs="宋体"/>
          <w:b w:val="0"/>
          <w:bCs w:val="0"/>
          <w:color w:val="auto"/>
          <w:kern w:val="2"/>
          <w:sz w:val="28"/>
          <w:szCs w:val="28"/>
          <w:highlight w:val="none"/>
          <w:shd w:val="clear" w:color="auto" w:fill="auto"/>
          <w:lang w:val="en-US" w:eastAsia="zh-CN" w:bidi="ar-SA"/>
        </w:rPr>
        <w:t>分</w:t>
      </w:r>
      <w:r>
        <w:rPr>
          <w:rFonts w:hint="eastAsia" w:cs="宋体"/>
          <w:b w:val="0"/>
          <w:bCs w:val="0"/>
          <w:color w:val="auto"/>
          <w:kern w:val="2"/>
          <w:sz w:val="28"/>
          <w:szCs w:val="28"/>
          <w:highlight w:val="none"/>
          <w:shd w:val="clear" w:color="auto" w:fill="auto"/>
          <w:lang w:val="en-US" w:eastAsia="zh-CN" w:bidi="ar-SA"/>
        </w:rPr>
        <w:t>。</w:t>
      </w:r>
    </w:p>
    <w:p>
      <w:pPr>
        <w:bidi w:val="0"/>
        <w:rPr>
          <w:rFonts w:hint="eastAsia"/>
          <w:color w:val="auto"/>
          <w:highlight w:val="none"/>
          <w:lang w:eastAsia="zh-CN"/>
        </w:rPr>
      </w:pPr>
      <w:r>
        <w:rPr>
          <w:rFonts w:hint="eastAsia"/>
          <w:color w:val="auto"/>
          <w:highlight w:val="none"/>
          <w:lang w:eastAsia="zh-CN"/>
        </w:rPr>
        <w:t>③项目合同书、验收报告、技术鉴定等资料是否齐全并及时归档；该项目合同按照规定进行归档，符合要求，</w:t>
      </w:r>
      <w:r>
        <w:rPr>
          <w:rFonts w:hint="eastAsia" w:ascii="宋体" w:hAnsi="宋体" w:eastAsia="宋体" w:cs="宋体"/>
          <w:b w:val="0"/>
          <w:bCs w:val="0"/>
          <w:color w:val="auto"/>
          <w:kern w:val="2"/>
          <w:sz w:val="28"/>
          <w:szCs w:val="28"/>
          <w:highlight w:val="none"/>
          <w:shd w:val="clear" w:color="auto" w:fill="auto"/>
          <w:lang w:val="en-US" w:eastAsia="zh-CN" w:bidi="ar-SA"/>
        </w:rPr>
        <w:t>该项得</w:t>
      </w:r>
      <w:r>
        <w:rPr>
          <w:rFonts w:hint="eastAsia" w:ascii="宋体" w:hAnsi="宋体" w:cs="宋体"/>
          <w:b w:val="0"/>
          <w:bCs w:val="0"/>
          <w:color w:val="auto"/>
          <w:kern w:val="2"/>
          <w:sz w:val="28"/>
          <w:szCs w:val="28"/>
          <w:highlight w:val="none"/>
          <w:shd w:val="clear" w:color="auto" w:fill="auto"/>
          <w:lang w:val="en-US" w:eastAsia="zh-CN" w:bidi="ar-SA"/>
        </w:rPr>
        <w:t>1</w:t>
      </w:r>
      <w:r>
        <w:rPr>
          <w:rFonts w:hint="eastAsia" w:ascii="宋体" w:hAnsi="宋体" w:eastAsia="宋体" w:cs="宋体"/>
          <w:b w:val="0"/>
          <w:bCs w:val="0"/>
          <w:color w:val="auto"/>
          <w:kern w:val="2"/>
          <w:sz w:val="28"/>
          <w:szCs w:val="28"/>
          <w:highlight w:val="none"/>
          <w:shd w:val="clear" w:color="auto" w:fill="auto"/>
          <w:lang w:val="en-US" w:eastAsia="zh-CN" w:bidi="ar-SA"/>
        </w:rPr>
        <w:t>分</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lang w:eastAsia="zh-CN"/>
        </w:rPr>
        <w:t>④项目实施的人员条件、场地设备、信息支撑等均能落实到位，</w:t>
      </w:r>
      <w:r>
        <w:rPr>
          <w:rFonts w:hint="eastAsia" w:ascii="宋体" w:hAnsi="宋体" w:eastAsia="宋体" w:cs="宋体"/>
          <w:b w:val="0"/>
          <w:bCs w:val="0"/>
          <w:color w:val="auto"/>
          <w:kern w:val="2"/>
          <w:sz w:val="28"/>
          <w:szCs w:val="28"/>
          <w:highlight w:val="none"/>
          <w:shd w:val="clear" w:color="auto" w:fill="auto"/>
          <w:lang w:val="en-US" w:eastAsia="zh-CN" w:bidi="ar-SA"/>
        </w:rPr>
        <w:t>该项得</w:t>
      </w:r>
      <w:r>
        <w:rPr>
          <w:rFonts w:hint="eastAsia" w:ascii="宋体" w:hAnsi="宋体" w:cs="宋体"/>
          <w:b w:val="0"/>
          <w:bCs w:val="0"/>
          <w:color w:val="auto"/>
          <w:kern w:val="2"/>
          <w:sz w:val="28"/>
          <w:szCs w:val="28"/>
          <w:highlight w:val="none"/>
          <w:shd w:val="clear" w:color="auto" w:fill="auto"/>
          <w:lang w:val="en-US" w:eastAsia="zh-CN" w:bidi="ar-SA"/>
        </w:rPr>
        <w:t>1</w:t>
      </w:r>
      <w:r>
        <w:rPr>
          <w:rFonts w:hint="eastAsia" w:ascii="宋体" w:hAnsi="宋体" w:eastAsia="宋体" w:cs="宋体"/>
          <w:b w:val="0"/>
          <w:bCs w:val="0"/>
          <w:color w:val="auto"/>
          <w:kern w:val="2"/>
          <w:sz w:val="28"/>
          <w:szCs w:val="28"/>
          <w:highlight w:val="none"/>
          <w:shd w:val="clear" w:color="auto" w:fill="auto"/>
          <w:lang w:val="en-US" w:eastAsia="zh-CN" w:bidi="ar-SA"/>
        </w:rPr>
        <w:t>分</w:t>
      </w:r>
      <w:r>
        <w:rPr>
          <w:rFonts w:hint="eastAsia"/>
          <w:color w:val="auto"/>
          <w:highlight w:val="none"/>
          <w:lang w:eastAsia="zh-CN"/>
        </w:rPr>
        <w:t>。</w:t>
      </w:r>
    </w:p>
    <w:p>
      <w:pPr>
        <w:bidi w:val="0"/>
        <w:rPr>
          <w:rFonts w:hint="eastAsia"/>
          <w:color w:val="auto"/>
          <w:highlight w:val="none"/>
          <w:lang w:eastAsia="zh-CN"/>
        </w:rPr>
      </w:pPr>
      <w:r>
        <w:rPr>
          <w:rFonts w:hint="eastAsia"/>
          <w:b/>
          <w:bCs/>
          <w:color w:val="auto"/>
          <w:highlight w:val="none"/>
          <w:lang w:val="en-US" w:eastAsia="zh-CN"/>
        </w:rPr>
        <w:t>综上，该项指标满分4分，扣分0分，得分4分。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三</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29</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9"/>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全年对外开放天数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≥330天</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305天</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每周开放时间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≥35小时</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56小时</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基础设施符合《大型体育场馆基本公共服务规范》标准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达成年度指标100%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基本管理符合《大型体育场馆基本公共服务规范》标准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达成年度指标100%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开放时间达标率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达成年度指标100%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29</w:t>
            </w:r>
          </w:p>
        </w:tc>
      </w:tr>
    </w:tbl>
    <w:p>
      <w:pPr>
        <w:bidi w:val="0"/>
        <w:rPr>
          <w:rFonts w:hint="default"/>
          <w:b w:val="0"/>
          <w:bCs w:val="0"/>
          <w:color w:val="auto"/>
          <w:highlight w:val="none"/>
          <w:lang w:val="en-US" w:eastAsia="zh-CN"/>
        </w:rPr>
      </w:pPr>
      <w:r>
        <w:rPr>
          <w:rFonts w:hint="eastAsia"/>
          <w:b w:val="0"/>
          <w:bCs w:val="0"/>
          <w:color w:val="auto"/>
          <w:highlight w:val="none"/>
          <w:lang w:val="en-US" w:eastAsia="zh-CN"/>
        </w:rPr>
        <w:t>1.项目完成数量</w:t>
      </w:r>
    </w:p>
    <w:p>
      <w:pPr>
        <w:bidi w:val="0"/>
        <w:rPr>
          <w:rFonts w:hint="eastAsia"/>
          <w:lang w:val="en-US" w:eastAsia="zh-CN"/>
        </w:rPr>
      </w:pPr>
      <w:r>
        <w:rPr>
          <w:rFonts w:hint="eastAsia"/>
          <w:lang w:val="en-US" w:eastAsia="zh-CN"/>
        </w:rPr>
        <w:t>“全年对外开放天数”指标，预期指标值为≥330天，实际完成为305天；实际完成率=（305天/330天）×100.00%=92.42%。</w:t>
      </w:r>
    </w:p>
    <w:p>
      <w:pPr>
        <w:bidi w:val="0"/>
        <w:ind w:firstLine="840" w:firstLineChars="300"/>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偏差原因分析：2022年因疫情原因未达年度指标值</w:t>
      </w:r>
      <w:r>
        <w:rPr>
          <w:rFonts w:hint="eastAsia" w:cs="宋体"/>
          <w:b w:val="0"/>
          <w:bCs w:val="0"/>
          <w:kern w:val="2"/>
          <w:sz w:val="28"/>
          <w:szCs w:val="28"/>
          <w:lang w:val="en-US" w:eastAsia="zh-CN" w:bidi="ar-SA"/>
        </w:rPr>
        <w:t>。</w:t>
      </w:r>
    </w:p>
    <w:p>
      <w:pPr>
        <w:bidi w:val="0"/>
        <w:rPr>
          <w:rFonts w:hint="default"/>
          <w:lang w:val="en-US" w:eastAsia="zh-CN"/>
        </w:rPr>
      </w:pPr>
      <w:r>
        <w:rPr>
          <w:rFonts w:hint="eastAsia"/>
          <w:lang w:val="en-US" w:eastAsia="zh-CN"/>
        </w:rPr>
        <w:t>“每周开放时间”指标，预期指标值为≥35小时，实际完成为56小时。实际完成率=（56小时/35小时）×100.00%=160.00%。</w:t>
      </w:r>
    </w:p>
    <w:p>
      <w:pPr>
        <w:bidi w:val="0"/>
        <w:rPr>
          <w:rFonts w:hint="eastAsia"/>
          <w:lang w:val="en-US" w:eastAsia="zh-CN"/>
        </w:rPr>
      </w:pPr>
      <w:r>
        <w:rPr>
          <w:rFonts w:hint="eastAsia"/>
          <w:lang w:val="en-US" w:eastAsia="zh-CN"/>
        </w:rPr>
        <w:t>综上，该项指标满分10分，得分9分。</w:t>
      </w:r>
    </w:p>
    <w:p>
      <w:pPr>
        <w:bidi w:val="0"/>
        <w:rPr>
          <w:rFonts w:hint="default"/>
          <w:b w:val="0"/>
          <w:bCs w:val="0"/>
          <w:color w:val="auto"/>
          <w:highlight w:val="none"/>
          <w:lang w:val="en-US" w:eastAsia="zh-CN"/>
        </w:rPr>
      </w:pPr>
      <w:r>
        <w:rPr>
          <w:rFonts w:hint="eastAsia"/>
          <w:b w:val="0"/>
          <w:bCs w:val="0"/>
          <w:color w:val="auto"/>
          <w:highlight w:val="none"/>
          <w:lang w:val="en-US" w:eastAsia="zh-CN"/>
        </w:rPr>
        <w:t>2.项目完成质量</w:t>
      </w:r>
    </w:p>
    <w:p>
      <w:pPr>
        <w:bidi w:val="0"/>
        <w:rPr>
          <w:rFonts w:hint="eastAsia"/>
          <w:b w:val="0"/>
          <w:bCs w:val="0"/>
          <w:color w:val="auto"/>
          <w:highlight w:val="none"/>
          <w:lang w:val="en-US" w:eastAsia="zh-CN"/>
        </w:rPr>
      </w:pPr>
      <w:r>
        <w:rPr>
          <w:rFonts w:hint="eastAsia"/>
          <w:b w:val="0"/>
          <w:bCs w:val="0"/>
          <w:color w:val="auto"/>
          <w:highlight w:val="none"/>
          <w:lang w:val="en-US" w:eastAsia="zh-CN"/>
        </w:rPr>
        <w:t>“基础设施符合《大型体育场馆基本公共服务规范》标准”指标，预期指标值为=100%，实际完成为100%。</w:t>
      </w:r>
    </w:p>
    <w:p>
      <w:pPr>
        <w:bidi w:val="0"/>
        <w:rPr>
          <w:rFonts w:hint="eastAsia"/>
          <w:b w:val="0"/>
          <w:bCs w:val="0"/>
          <w:color w:val="auto"/>
          <w:highlight w:val="none"/>
          <w:lang w:val="en-US" w:eastAsia="zh-CN"/>
        </w:rPr>
      </w:pPr>
      <w:r>
        <w:rPr>
          <w:rFonts w:hint="eastAsia"/>
          <w:b w:val="0"/>
          <w:bCs w:val="0"/>
          <w:color w:val="auto"/>
          <w:highlight w:val="none"/>
          <w:lang w:val="en-US" w:eastAsia="zh-CN"/>
        </w:rPr>
        <w:t>“基本管理符合《大型体育场馆基本公共服务规范》标准”指标，预期指标值为=100%，实际完成为100%。</w:t>
      </w:r>
    </w:p>
    <w:p>
      <w:pPr>
        <w:bidi w:val="0"/>
        <w:rPr>
          <w:rFonts w:hint="eastAsia"/>
          <w:color w:val="auto"/>
          <w:highlight w:val="none"/>
          <w:lang w:eastAsia="zh-CN"/>
        </w:rPr>
      </w:pPr>
      <w:r>
        <w:rPr>
          <w:rFonts w:hint="eastAsia"/>
          <w:b/>
          <w:bCs/>
          <w:color w:val="auto"/>
          <w:highlight w:val="none"/>
          <w:lang w:val="en-US" w:eastAsia="zh-CN"/>
        </w:rPr>
        <w:t>综上，该项指标满分10分，得分10分。</w:t>
      </w:r>
    </w:p>
    <w:p>
      <w:pPr>
        <w:bidi w:val="0"/>
        <w:rPr>
          <w:rFonts w:hint="default"/>
          <w:b w:val="0"/>
          <w:bCs w:val="0"/>
          <w:color w:val="auto"/>
          <w:highlight w:val="none"/>
          <w:lang w:val="en-US" w:eastAsia="zh-CN"/>
        </w:rPr>
      </w:pPr>
      <w:r>
        <w:rPr>
          <w:rFonts w:hint="eastAsia"/>
          <w:b w:val="0"/>
          <w:bCs w:val="0"/>
          <w:color w:val="auto"/>
          <w:highlight w:val="none"/>
          <w:lang w:val="en-US" w:eastAsia="zh-CN"/>
        </w:rPr>
        <w:t>3.项目完成时效</w:t>
      </w:r>
    </w:p>
    <w:p>
      <w:pPr>
        <w:bidi w:val="0"/>
        <w:rPr>
          <w:rFonts w:hint="eastAsia"/>
          <w:color w:val="auto"/>
          <w:highlight w:val="none"/>
          <w:lang w:val="en-US" w:eastAsia="zh-CN"/>
        </w:rPr>
      </w:pPr>
      <w:r>
        <w:rPr>
          <w:rFonts w:hint="eastAsia"/>
          <w:color w:val="auto"/>
          <w:highlight w:val="none"/>
          <w:lang w:val="en-US" w:eastAsia="zh-CN"/>
        </w:rPr>
        <w:t>“开放时间达标率”指标，预期指标值为=100.00%，实际完成为100.00%。</w:t>
      </w:r>
    </w:p>
    <w:p>
      <w:pPr>
        <w:bidi w:val="0"/>
        <w:rPr>
          <w:rFonts w:hint="eastAsia"/>
          <w:color w:val="auto"/>
          <w:highlight w:val="none"/>
          <w:lang w:eastAsia="zh-CN"/>
        </w:rPr>
      </w:pPr>
      <w:r>
        <w:rPr>
          <w:rFonts w:hint="eastAsia"/>
          <w:b/>
          <w:bCs/>
          <w:color w:val="auto"/>
          <w:highlight w:val="none"/>
          <w:lang w:val="en-US" w:eastAsia="zh-CN"/>
        </w:rPr>
        <w:t>综上，该项指标满分10分，得分10分。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四</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项目效益情况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2个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2个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9"/>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效益</w:t>
            </w: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场馆所属户外公共区域及户外健身器材全年免费开放</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达成年度指标100%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15</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健身群众满意度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94.38%</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15</w:t>
            </w:r>
          </w:p>
        </w:tc>
      </w:tr>
      <w:tr>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FF0000"/>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FF0000"/>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eastAsia"/>
          <w:b/>
          <w:bCs/>
          <w:lang w:val="en-US" w:eastAsia="zh-CN"/>
        </w:rPr>
      </w:pPr>
      <w:r>
        <w:rPr>
          <w:rFonts w:hint="eastAsia"/>
          <w:b/>
          <w:bCs/>
          <w:lang w:val="en-US" w:eastAsia="zh-CN"/>
        </w:rPr>
        <w:t>1.社会效益指标</w:t>
      </w:r>
    </w:p>
    <w:p>
      <w:pPr>
        <w:bidi w:val="0"/>
        <w:rPr>
          <w:rFonts w:hint="eastAsia"/>
          <w:b w:val="0"/>
          <w:bCs w:val="0"/>
          <w:lang w:val="en-US" w:eastAsia="zh-CN"/>
        </w:rPr>
      </w:pP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en-US" w:eastAsia="zh-CN"/>
        </w:rPr>
        <w:t>场馆所属户外公共区域及户外健身器材全年免费开放</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en-US" w:eastAsia="zh-CN"/>
        </w:rPr>
        <w:t>指标，预期指标值为=100%，实际完成为达成年度指标100%</w:t>
      </w:r>
      <w:r>
        <w:rPr>
          <w:rFonts w:hint="eastAsia"/>
          <w:lang w:val="en-US" w:eastAsia="zh-CN"/>
        </w:rPr>
        <w:t>。</w:t>
      </w:r>
    </w:p>
    <w:p>
      <w:pPr>
        <w:bidi w:val="0"/>
        <w:rPr>
          <w:rFonts w:hint="eastAsia"/>
          <w:b w:val="0"/>
          <w:bCs w:val="0"/>
          <w:color w:val="auto"/>
          <w:highlight w:val="none"/>
          <w:lang w:val="en-US" w:eastAsia="zh-CN"/>
        </w:rPr>
      </w:pPr>
      <w:r>
        <w:rPr>
          <w:rFonts w:hint="eastAsia"/>
          <w:b w:val="0"/>
          <w:bCs w:val="0"/>
          <w:color w:val="auto"/>
          <w:highlight w:val="none"/>
          <w:lang w:val="en-US" w:eastAsia="zh-CN"/>
        </w:rPr>
        <w:t>通过项目的实施，促进群众体育健身活动开展。</w:t>
      </w:r>
    </w:p>
    <w:p>
      <w:pPr>
        <w:bidi w:val="0"/>
        <w:rPr>
          <w:rFonts w:hint="eastAsia"/>
          <w:color w:val="auto"/>
          <w:highlight w:val="none"/>
          <w:lang w:val="en-US" w:eastAsia="zh-CN"/>
        </w:rPr>
      </w:pPr>
      <w:r>
        <w:rPr>
          <w:rFonts w:hint="eastAsia"/>
          <w:b/>
          <w:bCs/>
          <w:color w:val="auto"/>
          <w:highlight w:val="none"/>
          <w:lang w:val="en-US" w:eastAsia="zh-CN"/>
        </w:rPr>
        <w:t>综上，该项指标满分15分，得分15分。</w:t>
      </w:r>
    </w:p>
    <w:p>
      <w:pPr>
        <w:bidi w:val="0"/>
        <w:rPr>
          <w:rFonts w:hint="eastAsia"/>
          <w:b/>
          <w:bCs/>
          <w:lang w:val="en-US" w:eastAsia="zh-CN"/>
        </w:rPr>
      </w:pPr>
      <w:r>
        <w:rPr>
          <w:rFonts w:hint="eastAsia"/>
          <w:b/>
          <w:bCs/>
          <w:lang w:val="en-US" w:eastAsia="zh-CN"/>
        </w:rPr>
        <w:t>2.满意度指标</w:t>
      </w:r>
    </w:p>
    <w:p>
      <w:pPr>
        <w:bidi w:val="0"/>
        <w:rPr>
          <w:rFonts w:hint="eastAsia"/>
          <w:b/>
          <w:bCs/>
          <w:lang w:val="en-US" w:eastAsia="zh-CN"/>
        </w:rPr>
      </w:pPr>
      <w:r>
        <w:rPr>
          <w:rFonts w:hint="eastAsia"/>
          <w:lang w:val="en-US" w:eastAsia="zh-CN"/>
        </w:rPr>
        <w:t>“健身群众满意度”指标，预期指标值为大于等于90%，实际完成为94.38%。</w:t>
      </w:r>
    </w:p>
    <w:p>
      <w:pPr>
        <w:bidi w:val="0"/>
        <w:rPr>
          <w:rFonts w:hint="eastAsia"/>
          <w:color w:val="auto"/>
          <w:highlight w:val="none"/>
          <w:lang w:val="en-US" w:eastAsia="zh-CN"/>
        </w:rPr>
      </w:pPr>
      <w:r>
        <w:rPr>
          <w:rFonts w:hint="eastAsia"/>
          <w:b/>
          <w:bCs/>
          <w:color w:val="auto"/>
          <w:highlight w:val="none"/>
          <w:lang w:val="en-US" w:eastAsia="zh-CN"/>
        </w:rPr>
        <w:t>综上，该项指标满分15分，得分15分。</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五、</w:t>
      </w:r>
      <w:r>
        <w:rPr>
          <w:rFonts w:hint="eastAsia" w:ascii="宋体" w:hAnsi="宋体" w:eastAsia="宋体" w:cs="宋体"/>
          <w:b/>
          <w:bCs/>
          <w:color w:val="000000" w:themeColor="text1"/>
          <w:highlight w:val="none"/>
          <w:shd w:val="clear" w:color="auto" w:fill="auto"/>
          <w14:textFill>
            <w14:solidFill>
              <w14:schemeClr w14:val="tx1"/>
            </w14:solidFill>
          </w14:textFill>
        </w:rPr>
        <w:t>主要经验及做法、存在的问题及原因分析</w:t>
      </w:r>
    </w:p>
    <w:p>
      <w:pPr>
        <w:numPr>
          <w:ilvl w:val="0"/>
          <w:numId w:val="0"/>
        </w:numPr>
        <w:bidi w:val="0"/>
        <w:ind w:left="560" w:leftChars="0"/>
        <w:rPr>
          <w:rFonts w:hint="eastAsia"/>
          <w:b/>
          <w:bCs/>
          <w:lang w:eastAsia="zh-CN"/>
        </w:rPr>
      </w:pPr>
      <w:bookmarkStart w:id="12" w:name="_Toc28290"/>
      <w:bookmarkStart w:id="13" w:name="_Toc1921"/>
      <w:r>
        <w:rPr>
          <w:rFonts w:hint="eastAsia"/>
          <w:b/>
          <w:bCs/>
          <w:lang w:eastAsia="zh-CN"/>
        </w:rPr>
        <w:t>（</w:t>
      </w:r>
      <w:r>
        <w:rPr>
          <w:rFonts w:hint="eastAsia"/>
          <w:b/>
          <w:bCs/>
          <w:lang w:val="en-US" w:eastAsia="zh-CN"/>
        </w:rPr>
        <w:t>一</w:t>
      </w:r>
      <w:r>
        <w:rPr>
          <w:rFonts w:hint="eastAsia"/>
          <w:b/>
          <w:bCs/>
          <w:lang w:eastAsia="zh-CN"/>
        </w:rPr>
        <w:t>）</w:t>
      </w:r>
      <w:r>
        <w:rPr>
          <w:rFonts w:hint="eastAsia"/>
          <w:b/>
          <w:bCs/>
        </w:rPr>
        <w:t>主要经验及做法</w:t>
      </w:r>
    </w:p>
    <w:p>
      <w:pPr>
        <w:bidi w:val="0"/>
        <w:ind w:left="0" w:leftChars="0" w:firstLine="560" w:firstLineChars="200"/>
        <w:rPr>
          <w:rFonts w:hint="eastAsia"/>
          <w:color w:val="auto"/>
          <w:lang w:val="en-US" w:eastAsia="zh-CN"/>
        </w:rPr>
      </w:pPr>
      <w:r>
        <w:rPr>
          <w:rFonts w:hint="eastAsia"/>
          <w:color w:val="auto"/>
          <w:lang w:val="en-US" w:eastAsia="zh-CN"/>
        </w:rPr>
        <w:t>公共体育场馆向社会免费或低收费开放补助资金项目2022预算数为48.86万元，截至2022年12月31日共支出48.86万元，预算执行率为100%。</w:t>
      </w:r>
    </w:p>
    <w:p>
      <w:pPr>
        <w:bidi w:val="0"/>
        <w:rPr>
          <w:rFonts w:hint="eastAsia"/>
          <w:lang w:eastAsia="zh-CN"/>
        </w:rPr>
      </w:pPr>
      <w:r>
        <w:rPr>
          <w:rFonts w:hint="eastAsia"/>
          <w:color w:val="auto"/>
          <w:highlight w:val="none"/>
          <w:lang w:val="en-US" w:eastAsia="zh-CN"/>
        </w:rPr>
        <w:t>阜康市文体中心管理处</w:t>
      </w:r>
      <w:r>
        <w:rPr>
          <w:rFonts w:hint="eastAsia"/>
          <w:lang w:eastAsia="zh-CN"/>
        </w:rPr>
        <w:t>建立健全了预算管理规章制度，各部门严格按预算编制的原则和要求做好当年预算编制工作，在预算绩效管理工作中，做到合理安排各项资金，重点保障基本支出，按轻重缓急顺序原则，优先安排了</w:t>
      </w:r>
      <w:r>
        <w:rPr>
          <w:rFonts w:hint="eastAsia"/>
          <w:color w:val="auto"/>
          <w:highlight w:val="none"/>
          <w:lang w:val="en-US" w:eastAsia="zh-CN"/>
        </w:rPr>
        <w:t>阜康市文体中心管理处</w:t>
      </w:r>
      <w:r>
        <w:rPr>
          <w:rFonts w:hint="eastAsia"/>
          <w:lang w:eastAsia="zh-CN"/>
        </w:rPr>
        <w:t>事业发展中关系民生与稳定的项目，切实优化资源配置，提高了资金使用的效率和效果。</w:t>
      </w:r>
    </w:p>
    <w:bookmarkEnd w:id="12"/>
    <w:bookmarkEnd w:id="13"/>
    <w:p>
      <w:pPr>
        <w:bidi w:val="0"/>
        <w:rPr>
          <w:rFonts w:hint="eastAsia"/>
          <w:b/>
          <w:bCs/>
          <w:lang w:eastAsia="zh-CN"/>
        </w:rPr>
      </w:pPr>
      <w:r>
        <w:rPr>
          <w:rFonts w:hint="eastAsia"/>
          <w:b/>
          <w:bCs/>
          <w:lang w:eastAsia="zh-CN"/>
        </w:rPr>
        <w:t>（</w:t>
      </w:r>
      <w:r>
        <w:rPr>
          <w:rFonts w:hint="eastAsia"/>
          <w:b/>
          <w:bCs/>
          <w:lang w:val="en-US" w:eastAsia="zh-CN"/>
        </w:rPr>
        <w:t>二</w:t>
      </w:r>
      <w:r>
        <w:rPr>
          <w:rFonts w:hint="eastAsia"/>
          <w:b/>
          <w:bCs/>
          <w:lang w:eastAsia="zh-CN"/>
        </w:rPr>
        <w:t>）</w:t>
      </w:r>
      <w:r>
        <w:rPr>
          <w:rFonts w:hint="eastAsia"/>
          <w:b/>
          <w:bCs/>
        </w:rPr>
        <w:t>存在的问题及原因分析</w:t>
      </w:r>
    </w:p>
    <w:p>
      <w:pPr>
        <w:bidi w:val="0"/>
        <w:rPr>
          <w:rFonts w:hint="eastAsia"/>
          <w:color w:val="auto"/>
          <w:highlight w:val="none"/>
          <w:lang w:val="en-US" w:eastAsia="zh-CN"/>
        </w:rPr>
      </w:pPr>
      <w:r>
        <w:rPr>
          <w:rFonts w:hint="eastAsia"/>
          <w:color w:val="auto"/>
          <w:highlight w:val="none"/>
          <w:lang w:val="en-US" w:eastAsia="zh-CN"/>
        </w:rPr>
        <w:t>1.我单位在编制绩效项目支出绩效工作过程中，预算编制工作有待细化，预算编制不够明确和细化，整体绩效预算编制的合理性需要提高，预算执行力度还要进一步加强。</w:t>
      </w:r>
    </w:p>
    <w:p>
      <w:pPr>
        <w:bidi w:val="0"/>
        <w:rPr>
          <w:rFonts w:hint="eastAsia"/>
          <w:color w:val="auto"/>
          <w:highlight w:val="none"/>
          <w:lang w:val="zh-CN" w:eastAsia="zh-CN"/>
        </w:rPr>
      </w:pPr>
      <w:r>
        <w:rPr>
          <w:rFonts w:hint="eastAsia"/>
          <w:color w:val="auto"/>
          <w:highlight w:val="none"/>
          <w:lang w:val="en-US" w:eastAsia="zh-CN"/>
        </w:rPr>
        <w:t>2.相关工作人员经验不足，绩效管理意识不高，对于指标的编制还不够完善。</w:t>
      </w:r>
      <w:r>
        <w:rPr>
          <w:rFonts w:hint="eastAsia"/>
          <w:color w:val="auto"/>
          <w:highlight w:val="none"/>
          <w:lang w:val="zh-CN" w:eastAsia="zh-CN"/>
        </w:rPr>
        <w:t>缺乏科学、统一、完整的财政绩效评价指标体系，并且绩效管理缺乏约束和制度保障。</w:t>
      </w:r>
    </w:p>
    <w:p>
      <w:pPr>
        <w:bidi w:val="0"/>
        <w:rPr>
          <w:rFonts w:hint="eastAsia"/>
          <w:color w:val="auto"/>
          <w:highlight w:val="none"/>
          <w:lang w:val="zh-CN" w:eastAsia="zh-CN"/>
        </w:rPr>
      </w:pPr>
      <w:r>
        <w:rPr>
          <w:rFonts w:hint="eastAsia"/>
          <w:color w:val="auto"/>
          <w:highlight w:val="none"/>
          <w:lang w:val="zh-CN" w:eastAsia="zh-CN"/>
        </w:rPr>
        <w:t>原因分析：</w:t>
      </w:r>
    </w:p>
    <w:p>
      <w:pPr>
        <w:bidi w:val="0"/>
        <w:rPr>
          <w:rFonts w:hint="eastAsia"/>
          <w:color w:val="auto"/>
          <w:highlight w:val="none"/>
          <w:lang w:val="en-US" w:eastAsia="zh-CN"/>
        </w:rPr>
      </w:pPr>
      <w:r>
        <w:rPr>
          <w:rFonts w:hint="eastAsia"/>
          <w:color w:val="auto"/>
          <w:highlight w:val="none"/>
          <w:lang w:val="en-US" w:eastAsia="zh-CN"/>
        </w:rPr>
        <w:t>1、对预算绩效管理</w:t>
      </w:r>
      <w:r>
        <w:rPr>
          <w:rFonts w:hint="eastAsia"/>
          <w:color w:val="auto"/>
          <w:highlight w:val="none"/>
          <w:lang w:val="zh-CN" w:eastAsia="zh-CN"/>
        </w:rPr>
        <w:t>、绩效理念尚未真正贯穿于实践工作</w:t>
      </w:r>
      <w:r>
        <w:rPr>
          <w:rFonts w:hint="eastAsia"/>
          <w:color w:val="auto"/>
          <w:highlight w:val="none"/>
          <w:lang w:val="en-US" w:eastAsia="zh-CN"/>
        </w:rPr>
        <w:t>，对于指标的编制还不够完善。没有将项目库将项目的申报、立项审批、实施流程、项目验收等环节全部纳入统一管理。</w:t>
      </w:r>
    </w:p>
    <w:p>
      <w:pPr>
        <w:bidi w:val="0"/>
        <w:rPr>
          <w:rFonts w:hint="eastAsia"/>
          <w:color w:val="auto"/>
          <w:highlight w:val="none"/>
          <w:lang w:val="en-US" w:eastAsia="zh-CN"/>
        </w:rPr>
      </w:pPr>
      <w:r>
        <w:rPr>
          <w:rFonts w:hint="eastAsia"/>
          <w:color w:val="auto"/>
          <w:highlight w:val="none"/>
          <w:lang w:val="en-US" w:eastAsia="zh-CN"/>
        </w:rPr>
        <w:t>2、绩效管理不够严谨，指标设计方法不完善。需不断提高业务能力，编制绩效管理指标尽量符合实际情况，确保绩效评价达到预期目的。</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六、</w:t>
      </w:r>
      <w:r>
        <w:rPr>
          <w:rFonts w:hint="eastAsia" w:ascii="宋体" w:hAnsi="宋体" w:eastAsia="宋体" w:cs="宋体"/>
          <w:b/>
          <w:bCs/>
          <w:color w:val="000000" w:themeColor="text1"/>
          <w:highlight w:val="none"/>
          <w:shd w:val="clear" w:color="auto" w:fill="auto"/>
          <w14:textFill>
            <w14:solidFill>
              <w14:schemeClr w14:val="tx1"/>
            </w14:solidFill>
          </w14:textFill>
        </w:rPr>
        <w:t>有关建议</w:t>
      </w:r>
    </w:p>
    <w:p>
      <w:pPr>
        <w:bidi w:val="0"/>
        <w:rPr>
          <w:rFonts w:hint="eastAsia" w:cs="宋体"/>
          <w:b/>
          <w:bCs/>
          <w:color w:val="auto"/>
          <w:sz w:val="32"/>
          <w:szCs w:val="32"/>
          <w:highlight w:val="none"/>
          <w:lang w:eastAsia="zh-CN"/>
        </w:rPr>
      </w:pPr>
      <w:r>
        <w:rPr>
          <w:rFonts w:hint="eastAsia" w:cs="宋体"/>
          <w:b/>
          <w:bCs/>
          <w:color w:val="auto"/>
          <w:sz w:val="32"/>
          <w:szCs w:val="32"/>
          <w:highlight w:val="none"/>
          <w:lang w:eastAsia="zh-CN"/>
        </w:rPr>
        <w:t>（一）继续加强学习，</w:t>
      </w:r>
      <w:r>
        <w:rPr>
          <w:rFonts w:hint="eastAsia" w:ascii="宋体" w:hAnsi="宋体" w:eastAsia="宋体" w:cs="宋体"/>
          <w:b/>
          <w:bCs/>
          <w:color w:val="auto"/>
          <w:sz w:val="32"/>
          <w:szCs w:val="32"/>
          <w:highlight w:val="none"/>
        </w:rPr>
        <w:t>保证预算的可执行性</w:t>
      </w:r>
    </w:p>
    <w:p>
      <w:pPr>
        <w:bidi w:val="0"/>
        <w:rPr>
          <w:rFonts w:hint="eastAsia" w:ascii="宋体" w:hAnsi="宋体" w:eastAsia="宋体" w:cs="宋体"/>
          <w:color w:val="auto"/>
          <w:highlight w:val="none"/>
        </w:rPr>
      </w:pPr>
      <w:r>
        <w:rPr>
          <w:rFonts w:hint="eastAsia" w:ascii="宋体" w:hAnsi="宋体" w:eastAsia="宋体" w:cs="宋体"/>
          <w:color w:val="auto"/>
          <w:highlight w:val="none"/>
        </w:rPr>
        <w:t>继续加强《预算法》及《预算法实施条例》的宣传、学习贯彻力度。科学合理编制预算，要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尽量落实到具体单位、项目，争取做到每个基层预算单位的每个支出项目都能在预算中有所反映，使预算充分反映以政府为主体的资金收支活动全貌，保证预算的可执行性。</w:t>
      </w:r>
    </w:p>
    <w:p>
      <w:pPr>
        <w:bidi w:val="0"/>
        <w:rPr>
          <w:rFonts w:hint="eastAsia" w:cs="宋体"/>
          <w:color w:val="auto"/>
          <w:highlight w:val="none"/>
          <w:lang w:eastAsia="zh-CN"/>
        </w:rPr>
      </w:pPr>
      <w:r>
        <w:rPr>
          <w:rFonts w:hint="eastAsia" w:cs="宋体"/>
          <w:b/>
          <w:bCs/>
          <w:color w:val="auto"/>
          <w:sz w:val="32"/>
          <w:szCs w:val="32"/>
          <w:highlight w:val="none"/>
          <w:lang w:eastAsia="zh-CN"/>
        </w:rPr>
        <w:t>（二）</w:t>
      </w:r>
      <w:r>
        <w:rPr>
          <w:rFonts w:hint="eastAsia" w:ascii="宋体" w:hAnsi="宋体" w:eastAsia="宋体" w:cs="宋体"/>
          <w:b/>
          <w:bCs/>
          <w:color w:val="auto"/>
          <w:sz w:val="32"/>
          <w:szCs w:val="32"/>
          <w:highlight w:val="none"/>
        </w:rPr>
        <w:t>加大预算绩效管理培训力度</w:t>
      </w:r>
    </w:p>
    <w:p>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rPr>
        <w:t>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r>
        <w:rPr>
          <w:rFonts w:hint="eastAsia" w:ascii="宋体" w:hAnsi="宋体" w:eastAsia="宋体" w:cs="宋体"/>
          <w:color w:val="auto"/>
          <w:highlight w:val="none"/>
          <w:lang w:val="zh-CN"/>
        </w:rPr>
        <w:t>选取切实可行、操作性较强的考核指标，建立考核指标的标准模板</w:t>
      </w:r>
      <w:r>
        <w:rPr>
          <w:rFonts w:hint="eastAsia" w:cs="宋体"/>
          <w:color w:val="auto"/>
          <w:highlight w:val="none"/>
          <w:lang w:val="zh-CN"/>
        </w:rPr>
        <w:t>。</w:t>
      </w:r>
      <w:r>
        <w:rPr>
          <w:rFonts w:hint="eastAsia" w:ascii="宋体" w:hAnsi="宋体" w:eastAsia="宋体" w:cs="宋体"/>
          <w:color w:val="auto"/>
          <w:highlight w:val="none"/>
          <w:lang w:val="zh-CN"/>
        </w:rPr>
        <w:t>加强资金使用部门对绩效评价工作的认识和重视程度，并将评价结果运用于工作始终。</w:t>
      </w:r>
      <w:r>
        <w:rPr>
          <w:rFonts w:hint="eastAsia" w:ascii="宋体" w:hAnsi="宋体" w:eastAsia="宋体" w:cs="宋体"/>
          <w:color w:val="auto"/>
          <w:highlight w:val="none"/>
        </w:rPr>
        <w:t>同时做好项目实施管理与资金使用的匹配，根据项目实施计划，制定出科学合理的资金计划，不断提高资金使用效率</w:t>
      </w:r>
      <w:r>
        <w:rPr>
          <w:rFonts w:hint="eastAsia" w:cs="宋体"/>
          <w:color w:val="auto"/>
          <w:highlight w:val="none"/>
          <w:lang w:eastAsia="zh-CN"/>
        </w:rPr>
        <w:t>。</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七</w:t>
      </w:r>
      <w:r>
        <w:rPr>
          <w:rFonts w:hint="eastAsia" w:ascii="宋体" w:hAnsi="宋体" w:eastAsia="宋体" w:cs="宋体"/>
          <w:b/>
          <w:bCs/>
          <w:color w:val="000000" w:themeColor="text1"/>
          <w:highlight w:val="none"/>
          <w:shd w:val="clear" w:color="auto" w:fill="auto"/>
          <w14:textFill>
            <w14:solidFill>
              <w14:schemeClr w14:val="tx1"/>
            </w14:solidFill>
          </w14:textFill>
        </w:rPr>
        <w:t>、其他需要说明的问题</w:t>
      </w:r>
    </w:p>
    <w:p>
      <w:pPr>
        <w:bidi w:val="0"/>
        <w:rPr>
          <w:rFonts w:hint="default" w:ascii="宋体" w:hAnsi="宋体" w:eastAsia="宋体" w:cs="宋体"/>
          <w:lang w:val="en-US" w:eastAsia="zh-CN"/>
        </w:rPr>
      </w:pPr>
      <w:r>
        <w:rPr>
          <w:rFonts w:hint="eastAsia" w:ascii="宋体" w:hAnsi="宋体" w:eastAsia="宋体" w:cs="宋体"/>
          <w:lang w:val="en-US" w:eastAsia="zh-CN"/>
        </w:rPr>
        <w:t>无其他需要说明的问题。</w:t>
      </w:r>
    </w:p>
    <w:p>
      <w:pPr>
        <w:pageBreakBefore w:val="0"/>
        <w:kinsoku/>
        <w:wordWrap/>
        <w:overflowPunct/>
        <w:topLinePunct w:val="0"/>
        <w:autoSpaceDE/>
        <w:autoSpaceDN/>
        <w:bidi w:val="0"/>
        <w:adjustRightInd/>
        <w:spacing w:line="360" w:lineRule="auto"/>
        <w:textAlignment w:val="auto"/>
        <w:rPr>
          <w:rFonts w:hint="eastAsia" w:cs="宋体"/>
          <w:color w:val="000000" w:themeColor="text1"/>
          <w:highlight w:val="none"/>
          <w:shd w:val="clear" w:color="auto" w:fill="auto"/>
          <w:lang w:val="en-US" w:eastAsia="zh-CN"/>
          <w14:textFill>
            <w14:solidFill>
              <w14:schemeClr w14:val="tx1"/>
            </w14:solidFill>
          </w14:textFill>
        </w:rPr>
      </w:pPr>
    </w:p>
    <w:p>
      <w:pPr>
        <w:ind w:left="0" w:leftChars="0" w:firstLine="0" w:firstLineChars="0"/>
        <w:rPr>
          <w:rFonts w:hint="eastAsia"/>
          <w:lang w:val="en-US" w:eastAsia="zh-CN"/>
        </w:rPr>
        <w:sectPr>
          <w:footerReference r:id="rId5" w:type="default"/>
          <w:pgSz w:w="11906" w:h="16838"/>
          <w:pgMar w:top="1440" w:right="1800" w:bottom="1440" w:left="1800" w:header="737" w:footer="851" w:gutter="0"/>
          <w:pgNumType w:fmt="decimal" w:start="1"/>
          <w:cols w:space="720" w:num="1"/>
          <w:docGrid w:type="lines" w:linePitch="408" w:charSpace="0"/>
        </w:sectPr>
      </w:pPr>
      <w:r>
        <w:rPr>
          <w:rFonts w:hint="eastAsia"/>
          <w:lang w:val="en-US" w:eastAsia="zh-CN"/>
        </w:rPr>
        <w:br w:type="page"/>
      </w:r>
    </w:p>
    <w:tbl>
      <w:tblPr>
        <w:tblStyle w:val="9"/>
        <w:tblW w:w="140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14"/>
        <w:gridCol w:w="606"/>
        <w:gridCol w:w="1545"/>
        <w:gridCol w:w="465"/>
        <w:gridCol w:w="2130"/>
        <w:gridCol w:w="1485"/>
        <w:gridCol w:w="1890"/>
        <w:gridCol w:w="1380"/>
        <w:gridCol w:w="1305"/>
        <w:gridCol w:w="1095"/>
        <w:gridCol w:w="59"/>
        <w:gridCol w:w="16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 w:hRule="atLeast"/>
        </w:trPr>
        <w:tc>
          <w:tcPr>
            <w:tcW w:w="1020" w:type="dxa"/>
            <w:gridSpan w:val="2"/>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left"/>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附1</w:t>
            </w:r>
          </w:p>
        </w:tc>
        <w:tc>
          <w:tcPr>
            <w:tcW w:w="1545"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rPr>
                <w:rFonts w:hint="eastAsia" w:ascii="宋体" w:hAnsi="宋体" w:eastAsia="宋体" w:cs="宋体"/>
                <w:i w:val="0"/>
                <w:iCs w:val="0"/>
                <w:color w:val="000000"/>
                <w:sz w:val="24"/>
                <w:szCs w:val="24"/>
                <w:u w:val="none"/>
              </w:rPr>
            </w:pPr>
          </w:p>
        </w:tc>
        <w:tc>
          <w:tcPr>
            <w:tcW w:w="465"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rPr>
                <w:rFonts w:hint="eastAsia" w:ascii="宋体" w:hAnsi="宋体" w:eastAsia="宋体" w:cs="宋体"/>
                <w:i w:val="0"/>
                <w:iCs w:val="0"/>
                <w:color w:val="000000"/>
                <w:sz w:val="24"/>
                <w:szCs w:val="24"/>
                <w:u w:val="none"/>
              </w:rPr>
            </w:pPr>
          </w:p>
        </w:tc>
        <w:tc>
          <w:tcPr>
            <w:tcW w:w="2130"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rPr>
                <w:rFonts w:hint="eastAsia" w:ascii="宋体" w:hAnsi="宋体" w:eastAsia="宋体" w:cs="宋体"/>
                <w:i w:val="0"/>
                <w:iCs w:val="0"/>
                <w:color w:val="000000"/>
                <w:sz w:val="24"/>
                <w:szCs w:val="24"/>
                <w:u w:val="none"/>
              </w:rPr>
            </w:pPr>
          </w:p>
        </w:tc>
        <w:tc>
          <w:tcPr>
            <w:tcW w:w="1485"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rPr>
                <w:rFonts w:hint="eastAsia" w:ascii="宋体" w:hAnsi="宋体" w:eastAsia="宋体" w:cs="宋体"/>
                <w:i w:val="0"/>
                <w:iCs w:val="0"/>
                <w:color w:val="000000"/>
                <w:sz w:val="24"/>
                <w:szCs w:val="24"/>
                <w:u w:val="none"/>
              </w:rPr>
            </w:pPr>
          </w:p>
        </w:tc>
        <w:tc>
          <w:tcPr>
            <w:tcW w:w="1890"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rPr>
                <w:rFonts w:hint="eastAsia" w:ascii="宋体" w:hAnsi="宋体" w:eastAsia="宋体" w:cs="宋体"/>
                <w:i w:val="0"/>
                <w:iCs w:val="0"/>
                <w:color w:val="000000"/>
                <w:sz w:val="24"/>
                <w:szCs w:val="24"/>
                <w:u w:val="none"/>
              </w:rPr>
            </w:pPr>
          </w:p>
        </w:tc>
        <w:tc>
          <w:tcPr>
            <w:tcW w:w="1380"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rPr>
                <w:rFonts w:hint="eastAsia" w:ascii="宋体" w:hAnsi="宋体" w:eastAsia="宋体" w:cs="宋体"/>
                <w:i w:val="0"/>
                <w:iCs w:val="0"/>
                <w:color w:val="000000"/>
                <w:sz w:val="24"/>
                <w:szCs w:val="24"/>
                <w:u w:val="none"/>
              </w:rPr>
            </w:pPr>
          </w:p>
        </w:tc>
        <w:tc>
          <w:tcPr>
            <w:tcW w:w="1305"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rPr>
                <w:rFonts w:hint="eastAsia" w:ascii="宋体" w:hAnsi="宋体" w:eastAsia="宋体" w:cs="宋体"/>
                <w:i w:val="0"/>
                <w:iCs w:val="0"/>
                <w:color w:val="000000"/>
                <w:sz w:val="24"/>
                <w:szCs w:val="24"/>
                <w:u w:val="none"/>
              </w:rPr>
            </w:pPr>
          </w:p>
        </w:tc>
        <w:tc>
          <w:tcPr>
            <w:tcW w:w="1154" w:type="dxa"/>
            <w:gridSpan w:val="2"/>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rPr>
                <w:rFonts w:hint="eastAsia" w:ascii="宋体" w:hAnsi="宋体" w:eastAsia="宋体" w:cs="宋体"/>
                <w:i w:val="0"/>
                <w:iCs w:val="0"/>
                <w:color w:val="000000"/>
                <w:sz w:val="24"/>
                <w:szCs w:val="24"/>
                <w:u w:val="none"/>
              </w:rPr>
            </w:pPr>
          </w:p>
        </w:tc>
        <w:tc>
          <w:tcPr>
            <w:tcW w:w="1636"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4010" w:type="dxa"/>
            <w:gridSpan w:val="12"/>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黑体" w:hAnsi="宋体" w:eastAsia="黑体" w:cs="黑体"/>
                <w:b/>
                <w:bCs/>
                <w:i w:val="0"/>
                <w:iCs w:val="0"/>
                <w:color w:val="000000"/>
                <w:sz w:val="32"/>
                <w:szCs w:val="32"/>
                <w:u w:val="none"/>
              </w:rPr>
            </w:pPr>
            <w:r>
              <w:rPr>
                <w:rFonts w:hint="eastAsia" w:ascii="黑体" w:hAnsi="宋体" w:eastAsia="黑体" w:cs="黑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4010" w:type="dxa"/>
            <w:gridSpan w:val="12"/>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299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提前下达2022年公共体育场馆向社会免费或低收费开放补助资金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56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阜康市文体中心管理处</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54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阜康市文体中心管理处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10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48.86</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48.86</w:t>
            </w:r>
          </w:p>
        </w:tc>
        <w:tc>
          <w:tcPr>
            <w:tcW w:w="2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0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48.86</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48.86</w:t>
            </w:r>
          </w:p>
        </w:tc>
        <w:tc>
          <w:tcPr>
            <w:tcW w:w="2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0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0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16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623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73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9" w:hRule="atLeast"/>
        </w:trPr>
        <w:tc>
          <w:tcPr>
            <w:tcW w:w="4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623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目标1：积极落实体育场馆免费或低收费开放服务，不断提高运营管理能力和公共服务水平，满足人民群众日益增长的体育健身需求。                                          </w:t>
            </w:r>
          </w:p>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目标2：健全管理制度和服务规范，按照国家标准配备设施设备、安全防护设施和人员，并在显著位置标明体育器材、设施设备的使用方法和注意事项。</w:t>
            </w:r>
          </w:p>
        </w:tc>
        <w:tc>
          <w:tcPr>
            <w:tcW w:w="73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截止2022年12月底，本单位完成全年对外开放305天、每周开放时间56小时,达到场馆所属户外公共区域及户外健身器材全年免费开放，健身群众满意度达94.38%。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14"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 效 指 标</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4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27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414"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5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全年对外开放天数</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≥330天</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305天</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w:t>
            </w:r>
          </w:p>
        </w:tc>
        <w:tc>
          <w:tcPr>
            <w:tcW w:w="27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2022年因疫情原因未达年度指标值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414"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15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每周开放时间</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≥35小时</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56小时</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27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414"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15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基础设施符合《大型体育场馆基本公共服务规范》标准</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达成年度指标100%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7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414"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15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基本管理符合《大型体育场馆基本公共服务规范》标准</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达成年度指标100%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7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14"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开放时间达标率</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达成年度指标100%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27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4"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7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14"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5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7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414"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15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场馆所属户外公共区域及户外健身器材全年免费开放</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达成年度指标100%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27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14"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15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79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414"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可持续影响指标</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7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5" w:hRule="atLeast"/>
        </w:trPr>
        <w:tc>
          <w:tcPr>
            <w:tcW w:w="414"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c>
          <w:tcPr>
            <w:tcW w:w="60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服务对象满意度指标</w:t>
            </w:r>
          </w:p>
        </w:tc>
        <w:tc>
          <w:tcPr>
            <w:tcW w:w="25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健身群众满意度</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94.38%</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7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53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default" w:ascii="宋体" w:hAnsi="宋体" w:eastAsia="宋体" w:cs="宋体"/>
                <w:i w:val="0"/>
                <w:iCs w:val="0"/>
                <w:color w:val="000000"/>
                <w:sz w:val="20"/>
                <w:szCs w:val="20"/>
                <w:u w:val="none"/>
                <w:lang w:val="en-US" w:eastAsia="zh-CN"/>
              </w:rPr>
            </w:pPr>
            <w:r>
              <w:rPr>
                <w:rFonts w:hint="eastAsia" w:cs="宋体"/>
                <w:i w:val="0"/>
                <w:iCs w:val="0"/>
                <w:color w:val="000000"/>
                <w:sz w:val="20"/>
                <w:szCs w:val="20"/>
                <w:u w:val="none"/>
                <w:lang w:val="en-US" w:eastAsia="zh-CN"/>
              </w:rPr>
              <w:t>100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98.8</w:t>
            </w:r>
          </w:p>
        </w:tc>
        <w:tc>
          <w:tcPr>
            <w:tcW w:w="27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ind w:firstLine="0" w:firstLineChars="0"/>
              <w:rPr>
                <w:rFonts w:hint="eastAsia" w:ascii="宋体" w:hAnsi="宋体" w:eastAsia="宋体" w:cs="宋体"/>
                <w:i w:val="0"/>
                <w:iCs w:val="0"/>
                <w:color w:val="000000"/>
                <w:sz w:val="20"/>
                <w:szCs w:val="20"/>
                <w:u w:val="none"/>
              </w:rPr>
            </w:pPr>
          </w:p>
        </w:tc>
      </w:tr>
    </w:tbl>
    <w:p>
      <w:pPr>
        <w:pStyle w:val="2"/>
        <w:ind w:left="0" w:leftChars="0" w:firstLine="0" w:firstLineChars="0"/>
        <w:rPr>
          <w:rFonts w:hint="eastAsia"/>
          <w:lang w:val="en-US" w:eastAsia="zh-CN"/>
        </w:rPr>
        <w:sectPr>
          <w:pgSz w:w="16838" w:h="11906" w:orient="landscape"/>
          <w:pgMar w:top="1463" w:right="1440" w:bottom="1576" w:left="1440" w:header="737" w:footer="851" w:gutter="0"/>
          <w:pgNumType w:fmt="decimal" w:start="1"/>
          <w:cols w:space="720" w:num="1"/>
          <w:docGrid w:type="lines" w:linePitch="408" w:charSpace="0"/>
        </w:sectPr>
      </w:pPr>
    </w:p>
    <w:p>
      <w:pPr>
        <w:keepNext/>
        <w:keepLines/>
        <w:widowControl w:val="0"/>
        <w:spacing w:before="0" w:beforeLines="0" w:beforeAutospacing="0" w:after="0" w:afterLines="0" w:afterAutospacing="0" w:line="240" w:lineRule="auto"/>
        <w:jc w:val="left"/>
        <w:outlineLvl w:val="1"/>
        <w:rPr>
          <w:rFonts w:hint="eastAsia" w:ascii="Arial" w:hAnsi="Arial" w:eastAsia="宋体" w:cs="Times New Roman"/>
          <w:b/>
          <w:bCs/>
          <w:color w:val="000000"/>
          <w:kern w:val="2"/>
          <w:sz w:val="32"/>
          <w:szCs w:val="24"/>
          <w:lang w:val="en-US" w:eastAsia="zh-CN" w:bidi="ar-SA"/>
        </w:rPr>
      </w:pPr>
      <w:r>
        <w:rPr>
          <w:rFonts w:hint="eastAsia" w:cs="宋体"/>
          <w:b/>
          <w:bCs/>
          <w:color w:val="000000"/>
          <w:kern w:val="2"/>
          <w:sz w:val="36"/>
          <w:szCs w:val="28"/>
          <w:lang w:val="en-US" w:eastAsia="zh-CN" w:bidi="ar-SA"/>
        </w:rPr>
        <w:t xml:space="preserve">附件二              </w:t>
      </w:r>
      <w:r>
        <w:rPr>
          <w:rFonts w:hint="eastAsia" w:ascii="宋体" w:hAnsi="宋体" w:eastAsia="宋体" w:cs="宋体"/>
          <w:b/>
          <w:bCs/>
          <w:color w:val="000000"/>
          <w:kern w:val="2"/>
          <w:sz w:val="36"/>
          <w:szCs w:val="28"/>
          <w:lang w:val="en-US" w:eastAsia="zh-CN" w:bidi="ar-SA"/>
        </w:rPr>
        <w:t>项目支出绩效评价指标体系打分表</w:t>
      </w:r>
    </w:p>
    <w:tbl>
      <w:tblPr>
        <w:tblStyle w:val="9"/>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15</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15</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15</w:t>
            </w:r>
          </w:p>
        </w:tc>
      </w:tr>
    </w:tbl>
    <w:p>
      <w:pPr>
        <w:ind w:left="0" w:leftChars="0" w:firstLine="0" w:firstLineChars="0"/>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068479C"/>
    <w:multiLevelType w:val="singleLevel"/>
    <w:tmpl w:val="F068479C"/>
    <w:lvl w:ilvl="0" w:tentative="0">
      <w:start w:val="1"/>
      <w:numFmt w:val="decimal"/>
      <w:lvlText w:val="%1."/>
      <w:lvlJc w:val="left"/>
      <w:pPr>
        <w:tabs>
          <w:tab w:val="left" w:pos="312"/>
        </w:tabs>
      </w:pPr>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1470C4C"/>
    <w:rsid w:val="019B792D"/>
    <w:rsid w:val="02200440"/>
    <w:rsid w:val="02284B43"/>
    <w:rsid w:val="02920916"/>
    <w:rsid w:val="02B015E2"/>
    <w:rsid w:val="0302449B"/>
    <w:rsid w:val="039C3BA0"/>
    <w:rsid w:val="03A845BB"/>
    <w:rsid w:val="03D913AE"/>
    <w:rsid w:val="04D63993"/>
    <w:rsid w:val="053E33E3"/>
    <w:rsid w:val="07890F4F"/>
    <w:rsid w:val="09781BD6"/>
    <w:rsid w:val="0A5D1DCF"/>
    <w:rsid w:val="0B446839"/>
    <w:rsid w:val="0D4452F3"/>
    <w:rsid w:val="0E02555A"/>
    <w:rsid w:val="0E345E2C"/>
    <w:rsid w:val="0E4519B0"/>
    <w:rsid w:val="0E4F31FF"/>
    <w:rsid w:val="0EF25235"/>
    <w:rsid w:val="0F5E5042"/>
    <w:rsid w:val="100647E5"/>
    <w:rsid w:val="10156CA8"/>
    <w:rsid w:val="10510571"/>
    <w:rsid w:val="11FA6155"/>
    <w:rsid w:val="12CF0947"/>
    <w:rsid w:val="12F1313F"/>
    <w:rsid w:val="136C678E"/>
    <w:rsid w:val="13EB2FF5"/>
    <w:rsid w:val="165825BC"/>
    <w:rsid w:val="176F36D7"/>
    <w:rsid w:val="18226E6C"/>
    <w:rsid w:val="18456B1E"/>
    <w:rsid w:val="18697B91"/>
    <w:rsid w:val="1ACE1718"/>
    <w:rsid w:val="1C1171C5"/>
    <w:rsid w:val="1DA41A79"/>
    <w:rsid w:val="1DF53469"/>
    <w:rsid w:val="1E58492F"/>
    <w:rsid w:val="1E5B6757"/>
    <w:rsid w:val="1ED10AC6"/>
    <w:rsid w:val="1FC0575D"/>
    <w:rsid w:val="21B00C1D"/>
    <w:rsid w:val="22317971"/>
    <w:rsid w:val="23031BEB"/>
    <w:rsid w:val="23917691"/>
    <w:rsid w:val="244D65B8"/>
    <w:rsid w:val="245E1E24"/>
    <w:rsid w:val="24D82326"/>
    <w:rsid w:val="26797B39"/>
    <w:rsid w:val="27661469"/>
    <w:rsid w:val="27900EAD"/>
    <w:rsid w:val="279B538A"/>
    <w:rsid w:val="286F545C"/>
    <w:rsid w:val="288307FB"/>
    <w:rsid w:val="29314FBC"/>
    <w:rsid w:val="2B4F696C"/>
    <w:rsid w:val="2C842D93"/>
    <w:rsid w:val="2C927671"/>
    <w:rsid w:val="2D7C5CD6"/>
    <w:rsid w:val="2DB55779"/>
    <w:rsid w:val="2E483E7E"/>
    <w:rsid w:val="2F454B19"/>
    <w:rsid w:val="2F972DDE"/>
    <w:rsid w:val="2FDB4C6B"/>
    <w:rsid w:val="31E3230A"/>
    <w:rsid w:val="32495C16"/>
    <w:rsid w:val="33356F64"/>
    <w:rsid w:val="334B460B"/>
    <w:rsid w:val="33944516"/>
    <w:rsid w:val="34B62907"/>
    <w:rsid w:val="367A4C16"/>
    <w:rsid w:val="38442EFA"/>
    <w:rsid w:val="38782EDD"/>
    <w:rsid w:val="3B42664A"/>
    <w:rsid w:val="3D141F11"/>
    <w:rsid w:val="3D836A4E"/>
    <w:rsid w:val="3FBE0BC5"/>
    <w:rsid w:val="4048103A"/>
    <w:rsid w:val="435241E2"/>
    <w:rsid w:val="438A4CDB"/>
    <w:rsid w:val="439E3FA7"/>
    <w:rsid w:val="43AF4101"/>
    <w:rsid w:val="44B32266"/>
    <w:rsid w:val="44FC64F4"/>
    <w:rsid w:val="467F4585"/>
    <w:rsid w:val="470628CB"/>
    <w:rsid w:val="472D42FC"/>
    <w:rsid w:val="47555BD4"/>
    <w:rsid w:val="480873AC"/>
    <w:rsid w:val="48E12B50"/>
    <w:rsid w:val="499441BE"/>
    <w:rsid w:val="4A2138F0"/>
    <w:rsid w:val="4A583887"/>
    <w:rsid w:val="4B2161CA"/>
    <w:rsid w:val="4B9F6E02"/>
    <w:rsid w:val="4E6E48A8"/>
    <w:rsid w:val="4E9B153C"/>
    <w:rsid w:val="4EA413FF"/>
    <w:rsid w:val="4EEC036B"/>
    <w:rsid w:val="4FB8597A"/>
    <w:rsid w:val="501D2673"/>
    <w:rsid w:val="50E371A0"/>
    <w:rsid w:val="51852833"/>
    <w:rsid w:val="528271A9"/>
    <w:rsid w:val="53555F0F"/>
    <w:rsid w:val="54836AEE"/>
    <w:rsid w:val="55956F5F"/>
    <w:rsid w:val="583C7AE0"/>
    <w:rsid w:val="59216F96"/>
    <w:rsid w:val="5B9D2CCD"/>
    <w:rsid w:val="5EAC48BE"/>
    <w:rsid w:val="5EB915BA"/>
    <w:rsid w:val="60427649"/>
    <w:rsid w:val="61A25E1C"/>
    <w:rsid w:val="65E9396A"/>
    <w:rsid w:val="67394C7D"/>
    <w:rsid w:val="68126B38"/>
    <w:rsid w:val="68291A1A"/>
    <w:rsid w:val="691B1594"/>
    <w:rsid w:val="69BD0A3A"/>
    <w:rsid w:val="6A17429C"/>
    <w:rsid w:val="6A567EA3"/>
    <w:rsid w:val="6B4B4368"/>
    <w:rsid w:val="6C81017A"/>
    <w:rsid w:val="6E557973"/>
    <w:rsid w:val="6EB9003D"/>
    <w:rsid w:val="6F0D6C22"/>
    <w:rsid w:val="6F47657F"/>
    <w:rsid w:val="6FF2230E"/>
    <w:rsid w:val="701E2B79"/>
    <w:rsid w:val="70670707"/>
    <w:rsid w:val="708A2BA0"/>
    <w:rsid w:val="70A576A8"/>
    <w:rsid w:val="720E3691"/>
    <w:rsid w:val="732764B3"/>
    <w:rsid w:val="75E5007C"/>
    <w:rsid w:val="76585688"/>
    <w:rsid w:val="769E50E4"/>
    <w:rsid w:val="77861774"/>
    <w:rsid w:val="78D14237"/>
    <w:rsid w:val="79300B45"/>
    <w:rsid w:val="794D3E18"/>
    <w:rsid w:val="79F3729A"/>
    <w:rsid w:val="7A126299"/>
    <w:rsid w:val="7A7F2C12"/>
    <w:rsid w:val="7ACB0498"/>
    <w:rsid w:val="7AED0B4D"/>
    <w:rsid w:val="7B51165F"/>
    <w:rsid w:val="7C1E4487"/>
    <w:rsid w:val="7C215E02"/>
    <w:rsid w:val="7CF23764"/>
    <w:rsid w:val="7F577A4A"/>
    <w:rsid w:val="7FC174A9"/>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2"/>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2">
    <w:name w:val="标题 2 Char"/>
    <w:link w:val="4"/>
    <w:qFormat/>
    <w:uiPriority w:val="0"/>
    <w:rPr>
      <w:rFonts w:ascii="Arial" w:hAnsi="Arial" w:eastAsia="楷体"/>
      <w:b/>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12776</Words>
  <Characters>13386</Characters>
  <Lines>0</Lines>
  <Paragraphs>0</Paragraphs>
  <TotalTime>0</TotalTime>
  <ScaleCrop>false</ScaleCrop>
  <LinksUpToDate>false</LinksUpToDate>
  <CharactersWithSpaces>13475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WPS_1591167138</cp:lastModifiedBy>
  <dcterms:modified xsi:type="dcterms:W3CDTF">2023-11-20T03:20:21Z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04AA9079B8E54CA08917484A653528D0</vt:lpwstr>
  </property>
</Properties>
</file>